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DEA810" w14:textId="77777777" w:rsidR="000F49A2" w:rsidRDefault="000F49A2" w:rsidP="009B50C8">
      <w:pPr>
        <w:jc w:val="center"/>
      </w:pPr>
    </w:p>
    <w:p w14:paraId="06E25B36" w14:textId="77777777" w:rsidR="000F49A2" w:rsidRDefault="000F49A2" w:rsidP="009B50C8">
      <w:pPr>
        <w:jc w:val="center"/>
      </w:pPr>
    </w:p>
    <w:p w14:paraId="34D1E196" w14:textId="77777777" w:rsidR="000F49A2" w:rsidRDefault="000F49A2" w:rsidP="009B50C8">
      <w:pPr>
        <w:jc w:val="center"/>
      </w:pPr>
    </w:p>
    <w:p w14:paraId="72C80F75" w14:textId="77777777" w:rsidR="000F49A2" w:rsidRDefault="000F49A2" w:rsidP="009B50C8">
      <w:pPr>
        <w:jc w:val="center"/>
      </w:pPr>
    </w:p>
    <w:p w14:paraId="0005DECA" w14:textId="77777777" w:rsidR="000F49A2" w:rsidRDefault="000F49A2" w:rsidP="009B50C8">
      <w:pPr>
        <w:jc w:val="center"/>
      </w:pPr>
    </w:p>
    <w:p w14:paraId="7C40926B" w14:textId="77777777" w:rsidR="000F49A2" w:rsidRDefault="000F49A2" w:rsidP="009B50C8">
      <w:pPr>
        <w:jc w:val="center"/>
      </w:pPr>
    </w:p>
    <w:p w14:paraId="543E0510" w14:textId="77777777" w:rsidR="000F49A2" w:rsidRDefault="000F49A2" w:rsidP="009B50C8">
      <w:pPr>
        <w:jc w:val="center"/>
      </w:pPr>
    </w:p>
    <w:p w14:paraId="6A5517B1" w14:textId="77777777" w:rsidR="000F49A2" w:rsidRDefault="000F49A2" w:rsidP="009B50C8">
      <w:pPr>
        <w:jc w:val="center"/>
      </w:pPr>
    </w:p>
    <w:p w14:paraId="5D7ADC2F" w14:textId="77777777" w:rsidR="000F49A2" w:rsidRPr="002A1B70" w:rsidRDefault="000F49A2" w:rsidP="009B50C8">
      <w:pPr>
        <w:jc w:val="center"/>
        <w:rPr>
          <w:sz w:val="32"/>
          <w:szCs w:val="32"/>
        </w:rPr>
      </w:pPr>
    </w:p>
    <w:p w14:paraId="3922182D" w14:textId="115C0E4F" w:rsidR="009B50C8" w:rsidRPr="002A1B70" w:rsidRDefault="009B7F33" w:rsidP="009B50C8">
      <w:pPr>
        <w:jc w:val="center"/>
        <w:rPr>
          <w:sz w:val="32"/>
          <w:szCs w:val="32"/>
        </w:rPr>
      </w:pPr>
      <w:r w:rsidRPr="002A1B70">
        <w:rPr>
          <w:sz w:val="32"/>
          <w:szCs w:val="32"/>
        </w:rPr>
        <w:t>Struggling Male Readers in First Grade</w:t>
      </w:r>
    </w:p>
    <w:p w14:paraId="28E92CBA" w14:textId="77777777" w:rsidR="000F49A2" w:rsidRDefault="000F49A2" w:rsidP="009B50C8">
      <w:pPr>
        <w:jc w:val="center"/>
      </w:pPr>
    </w:p>
    <w:p w14:paraId="146594D2" w14:textId="77777777" w:rsidR="000F49A2" w:rsidRDefault="000F49A2" w:rsidP="009B50C8">
      <w:pPr>
        <w:jc w:val="center"/>
      </w:pPr>
    </w:p>
    <w:p w14:paraId="180AE713" w14:textId="77777777" w:rsidR="000F49A2" w:rsidRDefault="000F49A2" w:rsidP="009B50C8">
      <w:pPr>
        <w:jc w:val="center"/>
      </w:pPr>
    </w:p>
    <w:p w14:paraId="754F92E0" w14:textId="77777777" w:rsidR="000F49A2" w:rsidRDefault="000F49A2" w:rsidP="009B50C8">
      <w:pPr>
        <w:jc w:val="center"/>
      </w:pPr>
    </w:p>
    <w:p w14:paraId="08C28674" w14:textId="77777777" w:rsidR="000F49A2" w:rsidRDefault="000F49A2" w:rsidP="009B50C8">
      <w:pPr>
        <w:jc w:val="center"/>
      </w:pPr>
    </w:p>
    <w:p w14:paraId="29ACB2FC" w14:textId="77777777" w:rsidR="000F49A2" w:rsidRDefault="000F49A2" w:rsidP="009B50C8">
      <w:pPr>
        <w:jc w:val="center"/>
      </w:pPr>
    </w:p>
    <w:p w14:paraId="615B32C7" w14:textId="77777777" w:rsidR="000F49A2" w:rsidRDefault="000F49A2" w:rsidP="009B50C8">
      <w:pPr>
        <w:jc w:val="center"/>
      </w:pPr>
    </w:p>
    <w:p w14:paraId="02B7F635" w14:textId="77777777" w:rsidR="000F49A2" w:rsidRDefault="000F49A2" w:rsidP="009B50C8">
      <w:pPr>
        <w:jc w:val="center"/>
      </w:pPr>
    </w:p>
    <w:p w14:paraId="666CF0AB" w14:textId="77777777" w:rsidR="000F49A2" w:rsidRDefault="000F49A2" w:rsidP="009B50C8">
      <w:pPr>
        <w:jc w:val="center"/>
      </w:pPr>
    </w:p>
    <w:p w14:paraId="7C59D0C6" w14:textId="77777777" w:rsidR="000F49A2" w:rsidRDefault="000F49A2" w:rsidP="009B50C8">
      <w:pPr>
        <w:jc w:val="center"/>
      </w:pPr>
    </w:p>
    <w:p w14:paraId="1CAB280E" w14:textId="77777777" w:rsidR="000F49A2" w:rsidRDefault="000F49A2" w:rsidP="009B50C8">
      <w:pPr>
        <w:jc w:val="center"/>
      </w:pPr>
    </w:p>
    <w:p w14:paraId="6D2C58C1" w14:textId="77777777" w:rsidR="000F49A2" w:rsidRDefault="000F49A2" w:rsidP="009B50C8">
      <w:pPr>
        <w:jc w:val="center"/>
      </w:pPr>
    </w:p>
    <w:p w14:paraId="5955E2BE" w14:textId="77777777" w:rsidR="000F49A2" w:rsidRDefault="000F49A2" w:rsidP="009B50C8">
      <w:pPr>
        <w:jc w:val="center"/>
      </w:pPr>
    </w:p>
    <w:p w14:paraId="4EE86BF6" w14:textId="77777777" w:rsidR="000F49A2" w:rsidRDefault="000F49A2" w:rsidP="009B50C8">
      <w:pPr>
        <w:jc w:val="center"/>
      </w:pPr>
    </w:p>
    <w:p w14:paraId="4582AD82" w14:textId="77777777" w:rsidR="000F49A2" w:rsidRDefault="000F49A2" w:rsidP="009B50C8">
      <w:pPr>
        <w:jc w:val="center"/>
      </w:pPr>
    </w:p>
    <w:p w14:paraId="414738B5" w14:textId="77777777" w:rsidR="000F49A2" w:rsidRDefault="000F49A2" w:rsidP="009B50C8">
      <w:pPr>
        <w:jc w:val="center"/>
      </w:pPr>
    </w:p>
    <w:p w14:paraId="6C98266C" w14:textId="77777777" w:rsidR="000F49A2" w:rsidRDefault="000F49A2" w:rsidP="009B50C8">
      <w:pPr>
        <w:jc w:val="center"/>
      </w:pPr>
    </w:p>
    <w:p w14:paraId="2406E636" w14:textId="77777777" w:rsidR="000F49A2" w:rsidRDefault="000F49A2" w:rsidP="009B50C8">
      <w:pPr>
        <w:jc w:val="center"/>
      </w:pPr>
    </w:p>
    <w:p w14:paraId="37BA6B87" w14:textId="77777777" w:rsidR="000F49A2" w:rsidRDefault="000F49A2" w:rsidP="009B50C8">
      <w:pPr>
        <w:jc w:val="center"/>
      </w:pPr>
    </w:p>
    <w:p w14:paraId="05BBDF95" w14:textId="77777777" w:rsidR="000F49A2" w:rsidRDefault="000F49A2" w:rsidP="009B50C8">
      <w:pPr>
        <w:jc w:val="center"/>
      </w:pPr>
    </w:p>
    <w:p w14:paraId="137CF9D3" w14:textId="77777777" w:rsidR="000F49A2" w:rsidRDefault="000F49A2" w:rsidP="009B50C8">
      <w:pPr>
        <w:jc w:val="center"/>
      </w:pPr>
    </w:p>
    <w:p w14:paraId="3C88CAF3" w14:textId="77777777" w:rsidR="000F49A2" w:rsidRDefault="000F49A2" w:rsidP="009B50C8">
      <w:pPr>
        <w:jc w:val="center"/>
      </w:pPr>
    </w:p>
    <w:p w14:paraId="6C064CF6" w14:textId="77777777" w:rsidR="009B50C8" w:rsidRDefault="009B50C8" w:rsidP="009B50C8">
      <w:pPr>
        <w:jc w:val="center"/>
      </w:pPr>
    </w:p>
    <w:p w14:paraId="48C378AC" w14:textId="77777777" w:rsidR="009B50C8" w:rsidRDefault="009B50C8" w:rsidP="009B50C8">
      <w:pPr>
        <w:jc w:val="center"/>
      </w:pPr>
    </w:p>
    <w:p w14:paraId="0DF92957" w14:textId="77777777" w:rsidR="009B50C8" w:rsidRDefault="009B50C8" w:rsidP="009B50C8">
      <w:pPr>
        <w:jc w:val="center"/>
      </w:pPr>
      <w:r>
        <w:t>EDT 6050</w:t>
      </w:r>
    </w:p>
    <w:p w14:paraId="2AB3B3B1" w14:textId="77777777" w:rsidR="004F2E57" w:rsidRDefault="009B50C8" w:rsidP="009B50C8">
      <w:pPr>
        <w:jc w:val="center"/>
      </w:pPr>
      <w:r>
        <w:t>Action Plan</w:t>
      </w:r>
    </w:p>
    <w:p w14:paraId="4B0152E9" w14:textId="77777777" w:rsidR="009B50C8" w:rsidRDefault="009B50C8" w:rsidP="009B50C8">
      <w:pPr>
        <w:jc w:val="center"/>
      </w:pPr>
      <w:r>
        <w:t xml:space="preserve">Laura </w:t>
      </w:r>
      <w:proofErr w:type="spellStart"/>
      <w:r>
        <w:t>Pancoast</w:t>
      </w:r>
      <w:proofErr w:type="spellEnd"/>
    </w:p>
    <w:p w14:paraId="0CD684AC" w14:textId="77777777" w:rsidR="009B50C8" w:rsidRDefault="009B50C8" w:rsidP="009B50C8">
      <w:pPr>
        <w:jc w:val="center"/>
      </w:pPr>
      <w:r>
        <w:t>Concordia University</w:t>
      </w:r>
    </w:p>
    <w:p w14:paraId="1CAC6DAA" w14:textId="77777777" w:rsidR="009B50C8" w:rsidRDefault="009B50C8" w:rsidP="009B50C8">
      <w:pPr>
        <w:jc w:val="center"/>
      </w:pPr>
      <w:r>
        <w:t>May 1, 2012</w:t>
      </w:r>
    </w:p>
    <w:p w14:paraId="1DF7C88F" w14:textId="77777777" w:rsidR="009B50C8" w:rsidRDefault="009B50C8" w:rsidP="009B50C8">
      <w:pPr>
        <w:jc w:val="center"/>
      </w:pPr>
    </w:p>
    <w:p w14:paraId="6457417B" w14:textId="77777777" w:rsidR="000F49A2" w:rsidRDefault="000F49A2" w:rsidP="009B50C8">
      <w:pPr>
        <w:jc w:val="center"/>
      </w:pPr>
    </w:p>
    <w:p w14:paraId="027801B3" w14:textId="77777777" w:rsidR="000F49A2" w:rsidRDefault="000F49A2" w:rsidP="009B50C8">
      <w:pPr>
        <w:jc w:val="center"/>
      </w:pPr>
    </w:p>
    <w:p w14:paraId="50E5E6B9" w14:textId="77777777" w:rsidR="000F49A2" w:rsidRDefault="000F49A2" w:rsidP="009B50C8">
      <w:pPr>
        <w:jc w:val="center"/>
      </w:pPr>
    </w:p>
    <w:p w14:paraId="24FE6623" w14:textId="77777777" w:rsidR="000F49A2" w:rsidRDefault="000F49A2" w:rsidP="009B50C8">
      <w:pPr>
        <w:jc w:val="center"/>
      </w:pPr>
    </w:p>
    <w:p w14:paraId="43C60417" w14:textId="77777777" w:rsidR="002A1B70" w:rsidRDefault="002A1B70" w:rsidP="009B50C8">
      <w:pPr>
        <w:jc w:val="center"/>
      </w:pPr>
    </w:p>
    <w:p w14:paraId="45D5D976" w14:textId="77777777" w:rsidR="009B50C8" w:rsidRPr="004F78B7" w:rsidRDefault="009B50C8" w:rsidP="009B50C8">
      <w:pPr>
        <w:rPr>
          <w:u w:val="single"/>
        </w:rPr>
      </w:pPr>
      <w:r w:rsidRPr="004F78B7">
        <w:rPr>
          <w:u w:val="single"/>
        </w:rPr>
        <w:lastRenderedPageBreak/>
        <w:t>Background</w:t>
      </w:r>
    </w:p>
    <w:p w14:paraId="2AB37086" w14:textId="77777777" w:rsidR="002A7ECC" w:rsidRDefault="002A7ECC" w:rsidP="009B50C8"/>
    <w:p w14:paraId="38045098" w14:textId="7E2BACFB" w:rsidR="009B50C8" w:rsidRDefault="009B50C8" w:rsidP="002A7ECC">
      <w:pPr>
        <w:spacing w:line="480" w:lineRule="auto"/>
        <w:rPr>
          <w:rFonts w:ascii="Times New Roman" w:hAnsi="Times New Roman" w:cs="Times New Roman"/>
        </w:rPr>
      </w:pPr>
      <w:r>
        <w:rPr>
          <w:rFonts w:ascii="Times New Roman" w:hAnsi="Times New Roman" w:cs="Times New Roman"/>
        </w:rPr>
        <w:tab/>
      </w:r>
      <w:r w:rsidRPr="00B84970">
        <w:rPr>
          <w:rFonts w:ascii="Times New Roman" w:hAnsi="Times New Roman" w:cs="Times New Roman"/>
        </w:rPr>
        <w:t>I teach in a first grade classroom full of nineteen unique tiny humans.  Although my students are all either six, or seven years old, they are all very different.  I c</w:t>
      </w:r>
      <w:r>
        <w:rPr>
          <w:rFonts w:ascii="Times New Roman" w:hAnsi="Times New Roman" w:cs="Times New Roman"/>
        </w:rPr>
        <w:t xml:space="preserve">hose to look at ethnicity, </w:t>
      </w:r>
      <w:r w:rsidR="00E76418">
        <w:rPr>
          <w:rFonts w:ascii="Times New Roman" w:hAnsi="Times New Roman" w:cs="Times New Roman"/>
        </w:rPr>
        <w:t>sex, reading levels</w:t>
      </w:r>
      <w:r w:rsidR="002A7ECC">
        <w:rPr>
          <w:rFonts w:ascii="Times New Roman" w:hAnsi="Times New Roman" w:cs="Times New Roman"/>
        </w:rPr>
        <w:t xml:space="preserve"> as scored using the </w:t>
      </w:r>
      <w:proofErr w:type="spellStart"/>
      <w:r w:rsidR="002A7ECC">
        <w:rPr>
          <w:rFonts w:ascii="Times New Roman" w:hAnsi="Times New Roman" w:cs="Times New Roman"/>
        </w:rPr>
        <w:t>Fontas</w:t>
      </w:r>
      <w:proofErr w:type="spellEnd"/>
      <w:r w:rsidR="002A7ECC">
        <w:rPr>
          <w:rFonts w:ascii="Times New Roman" w:hAnsi="Times New Roman" w:cs="Times New Roman"/>
        </w:rPr>
        <w:t xml:space="preserve"> &amp; </w:t>
      </w:r>
      <w:proofErr w:type="spellStart"/>
      <w:r w:rsidR="002A7ECC">
        <w:rPr>
          <w:rFonts w:ascii="Times New Roman" w:hAnsi="Times New Roman" w:cs="Times New Roman"/>
        </w:rPr>
        <w:t>Pinnell</w:t>
      </w:r>
      <w:proofErr w:type="spellEnd"/>
      <w:r w:rsidR="002A7ECC">
        <w:rPr>
          <w:rFonts w:ascii="Times New Roman" w:hAnsi="Times New Roman" w:cs="Times New Roman"/>
        </w:rPr>
        <w:t xml:space="preserve"> Benchmarking series</w:t>
      </w:r>
      <w:r w:rsidR="00E76418">
        <w:rPr>
          <w:rFonts w:ascii="Times New Roman" w:hAnsi="Times New Roman" w:cs="Times New Roman"/>
        </w:rPr>
        <w:t xml:space="preserve">, and reading scores from </w:t>
      </w:r>
      <w:proofErr w:type="spellStart"/>
      <w:r w:rsidR="00E76418">
        <w:rPr>
          <w:rFonts w:ascii="Times New Roman" w:hAnsi="Times New Roman" w:cs="Times New Roman"/>
        </w:rPr>
        <w:t>AIMSweb</w:t>
      </w:r>
      <w:proofErr w:type="spellEnd"/>
      <w:r w:rsidR="00E76418">
        <w:rPr>
          <w:rFonts w:ascii="Times New Roman" w:hAnsi="Times New Roman" w:cs="Times New Roman"/>
        </w:rPr>
        <w:t xml:space="preserve">.  </w:t>
      </w:r>
      <w:r w:rsidRPr="00B84970">
        <w:rPr>
          <w:rFonts w:ascii="Times New Roman" w:hAnsi="Times New Roman" w:cs="Times New Roman"/>
        </w:rPr>
        <w:t>The first char</w:t>
      </w:r>
      <w:r w:rsidR="000F49A2">
        <w:rPr>
          <w:rFonts w:ascii="Times New Roman" w:hAnsi="Times New Roman" w:cs="Times New Roman"/>
        </w:rPr>
        <w:t xml:space="preserve">t shows the percentages of each </w:t>
      </w:r>
      <w:r w:rsidRPr="00B84970">
        <w:rPr>
          <w:rFonts w:ascii="Times New Roman" w:hAnsi="Times New Roman" w:cs="Times New Roman"/>
        </w:rPr>
        <w:t>ethnicity present in my classroom.</w:t>
      </w:r>
    </w:p>
    <w:p w14:paraId="1894B10F" w14:textId="2E7A4EE6" w:rsidR="009B50C8" w:rsidRPr="00B84970" w:rsidRDefault="002A7ECC" w:rsidP="009B50C8">
      <w:pPr>
        <w:rPr>
          <w:rFonts w:ascii="Times New Roman" w:hAnsi="Times New Roman" w:cs="Times New Roman"/>
        </w:rPr>
      </w:pPr>
      <w:r>
        <w:rPr>
          <w:noProof/>
        </w:rPr>
        <w:drawing>
          <wp:anchor distT="0" distB="0" distL="114300" distR="114300" simplePos="0" relativeHeight="251658240" behindDoc="0" locked="0" layoutInCell="1" allowOverlap="1" wp14:anchorId="39EB8B6D" wp14:editId="1BD73907">
            <wp:simplePos x="0" y="0"/>
            <wp:positionH relativeFrom="column">
              <wp:posOffset>114300</wp:posOffset>
            </wp:positionH>
            <wp:positionV relativeFrom="paragraph">
              <wp:posOffset>255270</wp:posOffset>
            </wp:positionV>
            <wp:extent cx="3543300" cy="2132965"/>
            <wp:effectExtent l="0" t="0" r="12700" b="26035"/>
            <wp:wrapTopAndBottom/>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14:sizeRelH relativeFrom="page">
              <wp14:pctWidth>0</wp14:pctWidth>
            </wp14:sizeRelH>
            <wp14:sizeRelV relativeFrom="page">
              <wp14:pctHeight>0</wp14:pctHeight>
            </wp14:sizeRelV>
          </wp:anchor>
        </w:drawing>
      </w:r>
    </w:p>
    <w:p w14:paraId="1B595E20" w14:textId="3FBF71B7" w:rsidR="009B50C8" w:rsidRDefault="009B50C8" w:rsidP="009B50C8"/>
    <w:p w14:paraId="22BE1178" w14:textId="0703827A" w:rsidR="00B11DD9" w:rsidRDefault="00B11DD9" w:rsidP="002A7ECC">
      <w:pPr>
        <w:spacing w:line="480" w:lineRule="auto"/>
      </w:pPr>
      <w:r>
        <w:tab/>
        <w:t xml:space="preserve">There is almost an even split of female to male students, which has never happened before in my four years of teaching.  </w:t>
      </w:r>
    </w:p>
    <w:p w14:paraId="40F09A40" w14:textId="77777777" w:rsidR="002A7ECC" w:rsidRDefault="002A7ECC" w:rsidP="009B50C8"/>
    <w:p w14:paraId="4E7CA4A7" w14:textId="77777777" w:rsidR="008D65EE" w:rsidRDefault="008D65EE" w:rsidP="009B50C8">
      <w:r>
        <w:rPr>
          <w:noProof/>
        </w:rPr>
        <w:drawing>
          <wp:inline distT="0" distB="0" distL="0" distR="0" wp14:anchorId="24051AE5" wp14:editId="26A30481">
            <wp:extent cx="3657600" cy="2260600"/>
            <wp:effectExtent l="0" t="0" r="25400" b="2540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3B0038FC" w14:textId="77777777" w:rsidR="002A7ECC" w:rsidRDefault="002A7ECC" w:rsidP="009B50C8"/>
    <w:p w14:paraId="49C0E071" w14:textId="1D4A2F33" w:rsidR="002A7ECC" w:rsidRDefault="002A7ECC" w:rsidP="000F49A2">
      <w:pPr>
        <w:spacing w:line="480" w:lineRule="auto"/>
      </w:pPr>
      <w:r>
        <w:tab/>
        <w:t xml:space="preserve">That being said, when it is viewed through a pivot table, it </w:t>
      </w:r>
      <w:r w:rsidR="00E13000">
        <w:t>seems</w:t>
      </w:r>
      <w:r>
        <w:t xml:space="preserve"> that male students have made a larger and more positive growth in their reading levels.  </w:t>
      </w:r>
      <w:r w:rsidR="003D6CD7">
        <w:t xml:space="preserve"> It becomes increasingly</w:t>
      </w:r>
      <w:r w:rsidR="00143579">
        <w:t xml:space="preserve"> clear</w:t>
      </w:r>
      <w:r w:rsidR="003D6CD7">
        <w:t>er</w:t>
      </w:r>
      <w:r w:rsidR="00143579">
        <w:t xml:space="preserve"> when the data from the pivot table is broken up into charts separated by gender.  The graphs illustrate that </w:t>
      </w:r>
      <w:r w:rsidR="003D6CD7">
        <w:t xml:space="preserve">while both female and male Hispanic students are excelling, the other males in the class need some extra assistance.  It is important to point out that these graphs are showing the sum of the differences in reading levels.  </w:t>
      </w:r>
      <w:r w:rsidR="00E13000">
        <w:t xml:space="preserve"> While it appears that males have a higher success rate, it is a different story when the scores are broken up.  The Hispanic males carry all of the weight and the other males need better instruction in reading.  </w:t>
      </w:r>
    </w:p>
    <w:tbl>
      <w:tblPr>
        <w:tblW w:w="3280" w:type="dxa"/>
        <w:tblInd w:w="93" w:type="dxa"/>
        <w:tblLook w:val="04A0" w:firstRow="1" w:lastRow="0" w:firstColumn="1" w:lastColumn="0" w:noHBand="0" w:noVBand="1"/>
      </w:tblPr>
      <w:tblGrid>
        <w:gridCol w:w="5896"/>
        <w:gridCol w:w="710"/>
      </w:tblGrid>
      <w:tr w:rsidR="002A7ECC" w:rsidRPr="005A1929" w14:paraId="440C7200" w14:textId="77777777" w:rsidTr="00143579">
        <w:trPr>
          <w:trHeight w:val="300"/>
        </w:trPr>
        <w:tc>
          <w:tcPr>
            <w:tcW w:w="2640" w:type="dxa"/>
            <w:tcBorders>
              <w:top w:val="nil"/>
              <w:left w:val="nil"/>
              <w:bottom w:val="single" w:sz="4" w:space="0" w:color="76933C"/>
              <w:right w:val="nil"/>
            </w:tcBorders>
            <w:shd w:val="clear" w:color="76933C" w:fill="76933C"/>
            <w:noWrap/>
            <w:vAlign w:val="bottom"/>
            <w:hideMark/>
          </w:tcPr>
          <w:p w14:paraId="45649C39" w14:textId="77777777" w:rsidR="002A7ECC" w:rsidRPr="005A1929" w:rsidRDefault="002A7ECC" w:rsidP="00143579">
            <w:pPr>
              <w:rPr>
                <w:rFonts w:ascii="Calibri" w:eastAsia="Times New Roman" w:hAnsi="Calibri" w:cs="Times New Roman"/>
                <w:b/>
                <w:bCs/>
                <w:color w:val="FFFFFF"/>
              </w:rPr>
            </w:pPr>
            <w:r w:rsidRPr="005A1929">
              <w:rPr>
                <w:rFonts w:ascii="Calibri" w:eastAsia="Times New Roman" w:hAnsi="Calibri" w:cs="Times New Roman"/>
                <w:b/>
                <w:bCs/>
                <w:color w:val="FFFFFF"/>
              </w:rPr>
              <w:t>Sum of Difference in F&amp;P</w:t>
            </w:r>
          </w:p>
        </w:tc>
        <w:tc>
          <w:tcPr>
            <w:tcW w:w="640" w:type="dxa"/>
            <w:tcBorders>
              <w:top w:val="nil"/>
              <w:left w:val="nil"/>
              <w:bottom w:val="single" w:sz="4" w:space="0" w:color="76933C"/>
              <w:right w:val="nil"/>
            </w:tcBorders>
            <w:shd w:val="clear" w:color="76933C" w:fill="76933C"/>
            <w:noWrap/>
            <w:vAlign w:val="bottom"/>
            <w:hideMark/>
          </w:tcPr>
          <w:p w14:paraId="3FCA041C" w14:textId="77777777" w:rsidR="002A7ECC" w:rsidRPr="005A1929" w:rsidRDefault="002A7ECC" w:rsidP="00143579">
            <w:pPr>
              <w:rPr>
                <w:rFonts w:ascii="Calibri" w:eastAsia="Times New Roman" w:hAnsi="Calibri" w:cs="Times New Roman"/>
                <w:color w:val="FFFFFF"/>
              </w:rPr>
            </w:pPr>
          </w:p>
        </w:tc>
      </w:tr>
      <w:tr w:rsidR="002A7ECC" w:rsidRPr="005A1929" w14:paraId="2C287DBE" w14:textId="77777777" w:rsidTr="00143579">
        <w:trPr>
          <w:trHeight w:val="300"/>
        </w:trPr>
        <w:tc>
          <w:tcPr>
            <w:tcW w:w="2640" w:type="dxa"/>
            <w:tcBorders>
              <w:top w:val="single" w:sz="4" w:space="0" w:color="76933C"/>
              <w:left w:val="nil"/>
              <w:bottom w:val="single" w:sz="4" w:space="0" w:color="EBF1DE"/>
              <w:right w:val="nil"/>
            </w:tcBorders>
            <w:shd w:val="clear" w:color="76933C" w:fill="76933C"/>
            <w:noWrap/>
            <w:vAlign w:val="bottom"/>
            <w:hideMark/>
          </w:tcPr>
          <w:p w14:paraId="2C7E3CF2" w14:textId="77777777" w:rsidR="002A7ECC" w:rsidRPr="005A1929" w:rsidRDefault="002A7ECC" w:rsidP="00143579">
            <w:pPr>
              <w:rPr>
                <w:rFonts w:ascii="Calibri" w:eastAsia="Times New Roman" w:hAnsi="Calibri" w:cs="Times New Roman"/>
                <w:color w:val="FFFFFF"/>
              </w:rPr>
            </w:pPr>
            <w:r w:rsidRPr="005A1929">
              <w:rPr>
                <w:rFonts w:ascii="Calibri" w:eastAsia="Times New Roman" w:hAnsi="Calibri" w:cs="Times New Roman"/>
                <w:color w:val="FFFFFF"/>
              </w:rPr>
              <w:t>Row Labels</w:t>
            </w:r>
          </w:p>
        </w:tc>
        <w:tc>
          <w:tcPr>
            <w:tcW w:w="640" w:type="dxa"/>
            <w:tcBorders>
              <w:top w:val="single" w:sz="4" w:space="0" w:color="76933C"/>
              <w:left w:val="nil"/>
              <w:bottom w:val="single" w:sz="4" w:space="0" w:color="EBF1DE"/>
              <w:right w:val="nil"/>
            </w:tcBorders>
            <w:shd w:val="clear" w:color="76933C" w:fill="76933C"/>
            <w:noWrap/>
            <w:vAlign w:val="bottom"/>
            <w:hideMark/>
          </w:tcPr>
          <w:p w14:paraId="01F4ECAE" w14:textId="77777777" w:rsidR="002A7ECC" w:rsidRPr="005A1929" w:rsidRDefault="002A7ECC" w:rsidP="00143579">
            <w:pPr>
              <w:rPr>
                <w:rFonts w:ascii="Calibri" w:eastAsia="Times New Roman" w:hAnsi="Calibri" w:cs="Times New Roman"/>
                <w:color w:val="FFFFFF"/>
              </w:rPr>
            </w:pPr>
            <w:r w:rsidRPr="005A1929">
              <w:rPr>
                <w:rFonts w:ascii="Calibri" w:eastAsia="Times New Roman" w:hAnsi="Calibri" w:cs="Times New Roman"/>
                <w:color w:val="FFFFFF"/>
              </w:rPr>
              <w:t>Total</w:t>
            </w:r>
          </w:p>
        </w:tc>
      </w:tr>
      <w:tr w:rsidR="002A7ECC" w:rsidRPr="005A1929" w14:paraId="79E713F3" w14:textId="77777777" w:rsidTr="00143579">
        <w:trPr>
          <w:trHeight w:val="300"/>
        </w:trPr>
        <w:tc>
          <w:tcPr>
            <w:tcW w:w="2640" w:type="dxa"/>
            <w:tcBorders>
              <w:top w:val="single" w:sz="4" w:space="0" w:color="EBF1DE"/>
              <w:left w:val="nil"/>
              <w:bottom w:val="single" w:sz="4" w:space="0" w:color="EBF1DE"/>
              <w:right w:val="nil"/>
            </w:tcBorders>
            <w:shd w:val="clear" w:color="C4D79B" w:fill="C4D79B"/>
            <w:noWrap/>
            <w:vAlign w:val="bottom"/>
            <w:hideMark/>
          </w:tcPr>
          <w:p w14:paraId="286CB426" w14:textId="77777777" w:rsidR="002A7ECC" w:rsidRPr="005A1929" w:rsidRDefault="002A7ECC" w:rsidP="00143579">
            <w:pPr>
              <w:rPr>
                <w:rFonts w:ascii="Calibri" w:eastAsia="Times New Roman" w:hAnsi="Calibri" w:cs="Times New Roman"/>
                <w:color w:val="FFFFFF"/>
              </w:rPr>
            </w:pPr>
            <w:r w:rsidRPr="005A1929">
              <w:rPr>
                <w:rFonts w:ascii="Calibri" w:eastAsia="Times New Roman" w:hAnsi="Calibri" w:cs="Times New Roman"/>
                <w:color w:val="FFFFFF"/>
              </w:rPr>
              <w:t>F</w:t>
            </w:r>
          </w:p>
        </w:tc>
        <w:tc>
          <w:tcPr>
            <w:tcW w:w="640" w:type="dxa"/>
            <w:tcBorders>
              <w:top w:val="single" w:sz="4" w:space="0" w:color="EBF1DE"/>
              <w:left w:val="nil"/>
              <w:bottom w:val="single" w:sz="4" w:space="0" w:color="EBF1DE"/>
              <w:right w:val="nil"/>
            </w:tcBorders>
            <w:shd w:val="clear" w:color="C4D79B" w:fill="C4D79B"/>
            <w:noWrap/>
            <w:vAlign w:val="bottom"/>
            <w:hideMark/>
          </w:tcPr>
          <w:p w14:paraId="6D47E347" w14:textId="77777777" w:rsidR="002A7ECC" w:rsidRPr="005A1929" w:rsidRDefault="002A7ECC" w:rsidP="00143579">
            <w:pPr>
              <w:jc w:val="right"/>
              <w:rPr>
                <w:rFonts w:ascii="Calibri" w:eastAsia="Times New Roman" w:hAnsi="Calibri" w:cs="Times New Roman"/>
                <w:color w:val="FFFFFF"/>
              </w:rPr>
            </w:pPr>
            <w:r w:rsidRPr="005A1929">
              <w:rPr>
                <w:rFonts w:ascii="Calibri" w:eastAsia="Times New Roman" w:hAnsi="Calibri" w:cs="Times New Roman"/>
                <w:color w:val="FFFFFF"/>
              </w:rPr>
              <w:t>36</w:t>
            </w:r>
          </w:p>
        </w:tc>
      </w:tr>
      <w:tr w:rsidR="002A7ECC" w:rsidRPr="005A1929" w14:paraId="3138D148" w14:textId="77777777" w:rsidTr="00143579">
        <w:trPr>
          <w:trHeight w:val="300"/>
        </w:trPr>
        <w:tc>
          <w:tcPr>
            <w:tcW w:w="2640" w:type="dxa"/>
            <w:tcBorders>
              <w:top w:val="single" w:sz="4" w:space="0" w:color="EBF1DE"/>
              <w:left w:val="nil"/>
              <w:bottom w:val="single" w:sz="4" w:space="0" w:color="EBF1DE"/>
              <w:right w:val="nil"/>
            </w:tcBorders>
            <w:shd w:val="clear" w:color="auto" w:fill="auto"/>
            <w:noWrap/>
            <w:vAlign w:val="bottom"/>
            <w:hideMark/>
          </w:tcPr>
          <w:p w14:paraId="30F5468B" w14:textId="77777777" w:rsidR="002A7ECC" w:rsidRPr="005A1929" w:rsidRDefault="002A7ECC" w:rsidP="002A7ECC">
            <w:pPr>
              <w:ind w:firstLineChars="100" w:firstLine="240"/>
              <w:rPr>
                <w:rFonts w:ascii="Calibri" w:eastAsia="Times New Roman" w:hAnsi="Calibri" w:cs="Times New Roman"/>
                <w:color w:val="000000"/>
              </w:rPr>
            </w:pPr>
            <w:r w:rsidRPr="005A1929">
              <w:rPr>
                <w:rFonts w:ascii="Calibri" w:eastAsia="Times New Roman" w:hAnsi="Calibri" w:cs="Times New Roman"/>
                <w:color w:val="000000"/>
              </w:rPr>
              <w:t>1</w:t>
            </w:r>
          </w:p>
        </w:tc>
        <w:tc>
          <w:tcPr>
            <w:tcW w:w="640" w:type="dxa"/>
            <w:tcBorders>
              <w:top w:val="single" w:sz="4" w:space="0" w:color="EBF1DE"/>
              <w:left w:val="nil"/>
              <w:bottom w:val="single" w:sz="4" w:space="0" w:color="EBF1DE"/>
              <w:right w:val="nil"/>
            </w:tcBorders>
            <w:shd w:val="clear" w:color="auto" w:fill="auto"/>
            <w:noWrap/>
            <w:vAlign w:val="bottom"/>
            <w:hideMark/>
          </w:tcPr>
          <w:p w14:paraId="4CA00050" w14:textId="77777777" w:rsidR="002A7ECC" w:rsidRPr="005A1929" w:rsidRDefault="002A7ECC" w:rsidP="00143579">
            <w:pPr>
              <w:jc w:val="right"/>
              <w:rPr>
                <w:rFonts w:ascii="Calibri" w:eastAsia="Times New Roman" w:hAnsi="Calibri" w:cs="Times New Roman"/>
                <w:color w:val="000000"/>
              </w:rPr>
            </w:pPr>
            <w:r w:rsidRPr="005A1929">
              <w:rPr>
                <w:rFonts w:ascii="Calibri" w:eastAsia="Times New Roman" w:hAnsi="Calibri" w:cs="Times New Roman"/>
                <w:color w:val="000000"/>
              </w:rPr>
              <w:t>14</w:t>
            </w:r>
          </w:p>
        </w:tc>
      </w:tr>
      <w:tr w:rsidR="002A7ECC" w:rsidRPr="005A1929" w14:paraId="3137670E" w14:textId="77777777" w:rsidTr="00143579">
        <w:trPr>
          <w:trHeight w:val="300"/>
        </w:trPr>
        <w:tc>
          <w:tcPr>
            <w:tcW w:w="2640" w:type="dxa"/>
            <w:tcBorders>
              <w:top w:val="single" w:sz="4" w:space="0" w:color="EBF1DE"/>
              <w:left w:val="nil"/>
              <w:bottom w:val="single" w:sz="4" w:space="0" w:color="EBF1DE"/>
              <w:right w:val="nil"/>
            </w:tcBorders>
            <w:shd w:val="clear" w:color="auto" w:fill="auto"/>
            <w:noWrap/>
            <w:vAlign w:val="bottom"/>
            <w:hideMark/>
          </w:tcPr>
          <w:p w14:paraId="6BC19749" w14:textId="77777777" w:rsidR="002A7ECC" w:rsidRPr="005A1929" w:rsidRDefault="002A7ECC" w:rsidP="002A7ECC">
            <w:pPr>
              <w:ind w:firstLineChars="100" w:firstLine="240"/>
              <w:rPr>
                <w:rFonts w:ascii="Calibri" w:eastAsia="Times New Roman" w:hAnsi="Calibri" w:cs="Times New Roman"/>
                <w:color w:val="000000"/>
              </w:rPr>
            </w:pPr>
            <w:r w:rsidRPr="005A1929">
              <w:rPr>
                <w:rFonts w:ascii="Calibri" w:eastAsia="Times New Roman" w:hAnsi="Calibri" w:cs="Times New Roman"/>
                <w:color w:val="000000"/>
              </w:rPr>
              <w:t>3</w:t>
            </w:r>
          </w:p>
        </w:tc>
        <w:tc>
          <w:tcPr>
            <w:tcW w:w="640" w:type="dxa"/>
            <w:tcBorders>
              <w:top w:val="single" w:sz="4" w:space="0" w:color="EBF1DE"/>
              <w:left w:val="nil"/>
              <w:bottom w:val="single" w:sz="4" w:space="0" w:color="EBF1DE"/>
              <w:right w:val="nil"/>
            </w:tcBorders>
            <w:shd w:val="clear" w:color="auto" w:fill="auto"/>
            <w:noWrap/>
            <w:vAlign w:val="bottom"/>
            <w:hideMark/>
          </w:tcPr>
          <w:p w14:paraId="7CD5CD71" w14:textId="77777777" w:rsidR="002A7ECC" w:rsidRPr="005A1929" w:rsidRDefault="002A7ECC" w:rsidP="00143579">
            <w:pPr>
              <w:jc w:val="right"/>
              <w:rPr>
                <w:rFonts w:ascii="Calibri" w:eastAsia="Times New Roman" w:hAnsi="Calibri" w:cs="Times New Roman"/>
                <w:color w:val="000000"/>
              </w:rPr>
            </w:pPr>
            <w:r w:rsidRPr="005A1929">
              <w:rPr>
                <w:rFonts w:ascii="Calibri" w:eastAsia="Times New Roman" w:hAnsi="Calibri" w:cs="Times New Roman"/>
                <w:color w:val="000000"/>
              </w:rPr>
              <w:t>15</w:t>
            </w:r>
          </w:p>
        </w:tc>
      </w:tr>
      <w:tr w:rsidR="002A7ECC" w:rsidRPr="005A1929" w14:paraId="48C97384" w14:textId="77777777" w:rsidTr="00143579">
        <w:trPr>
          <w:trHeight w:val="300"/>
        </w:trPr>
        <w:tc>
          <w:tcPr>
            <w:tcW w:w="2640" w:type="dxa"/>
            <w:tcBorders>
              <w:top w:val="single" w:sz="4" w:space="0" w:color="EBF1DE"/>
              <w:left w:val="nil"/>
              <w:bottom w:val="single" w:sz="4" w:space="0" w:color="EBF1DE"/>
              <w:right w:val="nil"/>
            </w:tcBorders>
            <w:shd w:val="clear" w:color="auto" w:fill="auto"/>
            <w:noWrap/>
            <w:vAlign w:val="bottom"/>
            <w:hideMark/>
          </w:tcPr>
          <w:p w14:paraId="3579596E" w14:textId="77777777" w:rsidR="002A7ECC" w:rsidRPr="005A1929" w:rsidRDefault="002A7ECC" w:rsidP="002A7ECC">
            <w:pPr>
              <w:ind w:firstLineChars="100" w:firstLine="240"/>
              <w:rPr>
                <w:rFonts w:ascii="Calibri" w:eastAsia="Times New Roman" w:hAnsi="Calibri" w:cs="Times New Roman"/>
                <w:color w:val="000000"/>
              </w:rPr>
            </w:pPr>
            <w:r w:rsidRPr="005A1929">
              <w:rPr>
                <w:rFonts w:ascii="Calibri" w:eastAsia="Times New Roman" w:hAnsi="Calibri" w:cs="Times New Roman"/>
                <w:color w:val="000000"/>
              </w:rPr>
              <w:t>4</w:t>
            </w:r>
          </w:p>
        </w:tc>
        <w:tc>
          <w:tcPr>
            <w:tcW w:w="640" w:type="dxa"/>
            <w:tcBorders>
              <w:top w:val="single" w:sz="4" w:space="0" w:color="EBF1DE"/>
              <w:left w:val="nil"/>
              <w:bottom w:val="single" w:sz="4" w:space="0" w:color="EBF1DE"/>
              <w:right w:val="nil"/>
            </w:tcBorders>
            <w:shd w:val="clear" w:color="auto" w:fill="auto"/>
            <w:noWrap/>
            <w:vAlign w:val="bottom"/>
            <w:hideMark/>
          </w:tcPr>
          <w:p w14:paraId="0B68A688" w14:textId="77777777" w:rsidR="002A7ECC" w:rsidRPr="005A1929" w:rsidRDefault="002A7ECC" w:rsidP="00143579">
            <w:pPr>
              <w:jc w:val="right"/>
              <w:rPr>
                <w:rFonts w:ascii="Calibri" w:eastAsia="Times New Roman" w:hAnsi="Calibri" w:cs="Times New Roman"/>
                <w:color w:val="000000"/>
              </w:rPr>
            </w:pPr>
            <w:r w:rsidRPr="005A1929">
              <w:rPr>
                <w:rFonts w:ascii="Calibri" w:eastAsia="Times New Roman" w:hAnsi="Calibri" w:cs="Times New Roman"/>
                <w:color w:val="000000"/>
              </w:rPr>
              <w:t>7</w:t>
            </w:r>
          </w:p>
        </w:tc>
      </w:tr>
      <w:tr w:rsidR="002A7ECC" w:rsidRPr="005A1929" w14:paraId="0BD0471B" w14:textId="77777777" w:rsidTr="00143579">
        <w:trPr>
          <w:trHeight w:val="300"/>
        </w:trPr>
        <w:tc>
          <w:tcPr>
            <w:tcW w:w="2640" w:type="dxa"/>
            <w:tcBorders>
              <w:top w:val="single" w:sz="4" w:space="0" w:color="EBF1DE"/>
              <w:left w:val="nil"/>
              <w:bottom w:val="single" w:sz="4" w:space="0" w:color="EBF1DE"/>
              <w:right w:val="nil"/>
            </w:tcBorders>
            <w:shd w:val="clear" w:color="C4D79B" w:fill="C4D79B"/>
            <w:noWrap/>
            <w:vAlign w:val="bottom"/>
            <w:hideMark/>
          </w:tcPr>
          <w:p w14:paraId="73616D0F" w14:textId="77777777" w:rsidR="002A7ECC" w:rsidRPr="005A1929" w:rsidRDefault="002A7ECC" w:rsidP="00143579">
            <w:pPr>
              <w:rPr>
                <w:rFonts w:ascii="Calibri" w:eastAsia="Times New Roman" w:hAnsi="Calibri" w:cs="Times New Roman"/>
                <w:color w:val="FFFFFF"/>
              </w:rPr>
            </w:pPr>
            <w:r w:rsidRPr="005A1929">
              <w:rPr>
                <w:rFonts w:ascii="Calibri" w:eastAsia="Times New Roman" w:hAnsi="Calibri" w:cs="Times New Roman"/>
                <w:color w:val="FFFFFF"/>
              </w:rPr>
              <w:t>M</w:t>
            </w:r>
          </w:p>
        </w:tc>
        <w:tc>
          <w:tcPr>
            <w:tcW w:w="640" w:type="dxa"/>
            <w:tcBorders>
              <w:top w:val="single" w:sz="4" w:space="0" w:color="EBF1DE"/>
              <w:left w:val="nil"/>
              <w:bottom w:val="single" w:sz="4" w:space="0" w:color="EBF1DE"/>
              <w:right w:val="nil"/>
            </w:tcBorders>
            <w:shd w:val="clear" w:color="C4D79B" w:fill="C4D79B"/>
            <w:noWrap/>
            <w:vAlign w:val="bottom"/>
            <w:hideMark/>
          </w:tcPr>
          <w:p w14:paraId="7BA1DE0B" w14:textId="77777777" w:rsidR="002A7ECC" w:rsidRPr="005A1929" w:rsidRDefault="002A7ECC" w:rsidP="00143579">
            <w:pPr>
              <w:jc w:val="right"/>
              <w:rPr>
                <w:rFonts w:ascii="Calibri" w:eastAsia="Times New Roman" w:hAnsi="Calibri" w:cs="Times New Roman"/>
                <w:color w:val="FFFFFF"/>
              </w:rPr>
            </w:pPr>
            <w:r w:rsidRPr="005A1929">
              <w:rPr>
                <w:rFonts w:ascii="Calibri" w:eastAsia="Times New Roman" w:hAnsi="Calibri" w:cs="Times New Roman"/>
                <w:color w:val="FFFFFF"/>
              </w:rPr>
              <w:t>49</w:t>
            </w:r>
          </w:p>
        </w:tc>
      </w:tr>
      <w:tr w:rsidR="002A7ECC" w:rsidRPr="005A1929" w14:paraId="0CD0ACB4" w14:textId="77777777" w:rsidTr="00143579">
        <w:trPr>
          <w:trHeight w:val="300"/>
        </w:trPr>
        <w:tc>
          <w:tcPr>
            <w:tcW w:w="2640" w:type="dxa"/>
            <w:tcBorders>
              <w:top w:val="single" w:sz="4" w:space="0" w:color="EBF1DE"/>
              <w:left w:val="nil"/>
              <w:bottom w:val="single" w:sz="4" w:space="0" w:color="EBF1DE"/>
              <w:right w:val="nil"/>
            </w:tcBorders>
            <w:shd w:val="clear" w:color="auto" w:fill="auto"/>
            <w:noWrap/>
            <w:vAlign w:val="bottom"/>
            <w:hideMark/>
          </w:tcPr>
          <w:p w14:paraId="50449B11" w14:textId="77777777" w:rsidR="002A7ECC" w:rsidRPr="005A1929" w:rsidRDefault="002A7ECC" w:rsidP="002A7ECC">
            <w:pPr>
              <w:ind w:firstLineChars="100" w:firstLine="240"/>
              <w:rPr>
                <w:rFonts w:ascii="Calibri" w:eastAsia="Times New Roman" w:hAnsi="Calibri" w:cs="Times New Roman"/>
                <w:color w:val="000000"/>
              </w:rPr>
            </w:pPr>
            <w:r w:rsidRPr="005A1929">
              <w:rPr>
                <w:rFonts w:ascii="Calibri" w:eastAsia="Times New Roman" w:hAnsi="Calibri" w:cs="Times New Roman"/>
                <w:color w:val="000000"/>
              </w:rPr>
              <w:t>1</w:t>
            </w:r>
          </w:p>
        </w:tc>
        <w:tc>
          <w:tcPr>
            <w:tcW w:w="640" w:type="dxa"/>
            <w:tcBorders>
              <w:top w:val="single" w:sz="4" w:space="0" w:color="EBF1DE"/>
              <w:left w:val="nil"/>
              <w:bottom w:val="single" w:sz="4" w:space="0" w:color="EBF1DE"/>
              <w:right w:val="nil"/>
            </w:tcBorders>
            <w:shd w:val="clear" w:color="auto" w:fill="auto"/>
            <w:noWrap/>
            <w:vAlign w:val="bottom"/>
            <w:hideMark/>
          </w:tcPr>
          <w:p w14:paraId="72FDC738" w14:textId="77777777" w:rsidR="002A7ECC" w:rsidRPr="005A1929" w:rsidRDefault="002A7ECC" w:rsidP="00143579">
            <w:pPr>
              <w:jc w:val="right"/>
              <w:rPr>
                <w:rFonts w:ascii="Calibri" w:eastAsia="Times New Roman" w:hAnsi="Calibri" w:cs="Times New Roman"/>
                <w:color w:val="000000"/>
              </w:rPr>
            </w:pPr>
            <w:r w:rsidRPr="005A1929">
              <w:rPr>
                <w:rFonts w:ascii="Calibri" w:eastAsia="Times New Roman" w:hAnsi="Calibri" w:cs="Times New Roman"/>
                <w:color w:val="000000"/>
              </w:rPr>
              <w:t>39</w:t>
            </w:r>
          </w:p>
        </w:tc>
      </w:tr>
      <w:tr w:rsidR="002A7ECC" w:rsidRPr="005A1929" w14:paraId="50BC8B85" w14:textId="77777777" w:rsidTr="00143579">
        <w:trPr>
          <w:trHeight w:val="300"/>
        </w:trPr>
        <w:tc>
          <w:tcPr>
            <w:tcW w:w="2640" w:type="dxa"/>
            <w:tcBorders>
              <w:top w:val="single" w:sz="4" w:space="0" w:color="EBF1DE"/>
              <w:left w:val="nil"/>
              <w:bottom w:val="single" w:sz="4" w:space="0" w:color="EBF1DE"/>
              <w:right w:val="nil"/>
            </w:tcBorders>
            <w:shd w:val="clear" w:color="auto" w:fill="auto"/>
            <w:noWrap/>
            <w:vAlign w:val="bottom"/>
            <w:hideMark/>
          </w:tcPr>
          <w:p w14:paraId="3C7E2485" w14:textId="77777777" w:rsidR="002A7ECC" w:rsidRPr="005A1929" w:rsidRDefault="002A7ECC" w:rsidP="002A7ECC">
            <w:pPr>
              <w:ind w:firstLineChars="100" w:firstLine="240"/>
              <w:rPr>
                <w:rFonts w:ascii="Calibri" w:eastAsia="Times New Roman" w:hAnsi="Calibri" w:cs="Times New Roman"/>
                <w:color w:val="000000"/>
              </w:rPr>
            </w:pPr>
            <w:r w:rsidRPr="005A1929">
              <w:rPr>
                <w:rFonts w:ascii="Calibri" w:eastAsia="Times New Roman" w:hAnsi="Calibri" w:cs="Times New Roman"/>
                <w:color w:val="000000"/>
              </w:rPr>
              <w:t>3</w:t>
            </w:r>
          </w:p>
        </w:tc>
        <w:tc>
          <w:tcPr>
            <w:tcW w:w="640" w:type="dxa"/>
            <w:tcBorders>
              <w:top w:val="single" w:sz="4" w:space="0" w:color="EBF1DE"/>
              <w:left w:val="nil"/>
              <w:bottom w:val="single" w:sz="4" w:space="0" w:color="EBF1DE"/>
              <w:right w:val="nil"/>
            </w:tcBorders>
            <w:shd w:val="clear" w:color="auto" w:fill="auto"/>
            <w:noWrap/>
            <w:vAlign w:val="bottom"/>
            <w:hideMark/>
          </w:tcPr>
          <w:p w14:paraId="4E4BE5D2" w14:textId="77777777" w:rsidR="002A7ECC" w:rsidRPr="005A1929" w:rsidRDefault="002A7ECC" w:rsidP="00143579">
            <w:pPr>
              <w:jc w:val="right"/>
              <w:rPr>
                <w:rFonts w:ascii="Calibri" w:eastAsia="Times New Roman" w:hAnsi="Calibri" w:cs="Times New Roman"/>
                <w:color w:val="000000"/>
              </w:rPr>
            </w:pPr>
            <w:r w:rsidRPr="005A1929">
              <w:rPr>
                <w:rFonts w:ascii="Calibri" w:eastAsia="Times New Roman" w:hAnsi="Calibri" w:cs="Times New Roman"/>
                <w:color w:val="000000"/>
              </w:rPr>
              <w:t>3</w:t>
            </w:r>
          </w:p>
        </w:tc>
      </w:tr>
      <w:tr w:rsidR="002A7ECC" w:rsidRPr="005A1929" w14:paraId="41E3AA08" w14:textId="77777777" w:rsidTr="00143579">
        <w:trPr>
          <w:trHeight w:val="300"/>
        </w:trPr>
        <w:tc>
          <w:tcPr>
            <w:tcW w:w="2640" w:type="dxa"/>
            <w:tcBorders>
              <w:top w:val="single" w:sz="4" w:space="0" w:color="EBF1DE"/>
              <w:left w:val="nil"/>
              <w:bottom w:val="single" w:sz="4" w:space="0" w:color="EBF1DE"/>
              <w:right w:val="nil"/>
            </w:tcBorders>
            <w:shd w:val="clear" w:color="auto" w:fill="auto"/>
            <w:noWrap/>
            <w:vAlign w:val="bottom"/>
            <w:hideMark/>
          </w:tcPr>
          <w:p w14:paraId="6C414C2C" w14:textId="77777777" w:rsidR="002A7ECC" w:rsidRPr="005A1929" w:rsidRDefault="002A7ECC" w:rsidP="002A7ECC">
            <w:pPr>
              <w:ind w:firstLineChars="100" w:firstLine="240"/>
              <w:rPr>
                <w:rFonts w:ascii="Calibri" w:eastAsia="Times New Roman" w:hAnsi="Calibri" w:cs="Times New Roman"/>
                <w:color w:val="000000"/>
              </w:rPr>
            </w:pPr>
            <w:r w:rsidRPr="005A1929">
              <w:rPr>
                <w:rFonts w:ascii="Calibri" w:eastAsia="Times New Roman" w:hAnsi="Calibri" w:cs="Times New Roman"/>
                <w:color w:val="000000"/>
              </w:rPr>
              <w:t>4</w:t>
            </w:r>
          </w:p>
        </w:tc>
        <w:tc>
          <w:tcPr>
            <w:tcW w:w="640" w:type="dxa"/>
            <w:tcBorders>
              <w:top w:val="single" w:sz="4" w:space="0" w:color="EBF1DE"/>
              <w:left w:val="nil"/>
              <w:bottom w:val="single" w:sz="4" w:space="0" w:color="EBF1DE"/>
              <w:right w:val="nil"/>
            </w:tcBorders>
            <w:shd w:val="clear" w:color="auto" w:fill="auto"/>
            <w:noWrap/>
            <w:vAlign w:val="bottom"/>
            <w:hideMark/>
          </w:tcPr>
          <w:p w14:paraId="2014328A" w14:textId="77777777" w:rsidR="002A7ECC" w:rsidRPr="005A1929" w:rsidRDefault="002A7ECC" w:rsidP="00143579">
            <w:pPr>
              <w:jc w:val="right"/>
              <w:rPr>
                <w:rFonts w:ascii="Calibri" w:eastAsia="Times New Roman" w:hAnsi="Calibri" w:cs="Times New Roman"/>
                <w:color w:val="000000"/>
              </w:rPr>
            </w:pPr>
            <w:r w:rsidRPr="005A1929">
              <w:rPr>
                <w:rFonts w:ascii="Calibri" w:eastAsia="Times New Roman" w:hAnsi="Calibri" w:cs="Times New Roman"/>
                <w:color w:val="000000"/>
              </w:rPr>
              <w:t>7</w:t>
            </w:r>
          </w:p>
        </w:tc>
      </w:tr>
      <w:tr w:rsidR="002A7ECC" w:rsidRPr="005A1929" w14:paraId="014C07F9" w14:textId="77777777" w:rsidTr="00143579">
        <w:trPr>
          <w:trHeight w:val="300"/>
        </w:trPr>
        <w:tc>
          <w:tcPr>
            <w:tcW w:w="2640" w:type="dxa"/>
            <w:tcBorders>
              <w:top w:val="double" w:sz="6" w:space="0" w:color="76933C"/>
              <w:left w:val="nil"/>
              <w:bottom w:val="double" w:sz="6" w:space="0" w:color="76933C"/>
              <w:right w:val="nil"/>
            </w:tcBorders>
            <w:shd w:val="clear" w:color="auto" w:fill="auto"/>
            <w:noWrap/>
            <w:vAlign w:val="bottom"/>
            <w:hideMark/>
          </w:tcPr>
          <w:p w14:paraId="55FEBCD6" w14:textId="77777777" w:rsidR="002A7ECC" w:rsidRPr="005A1929" w:rsidRDefault="002A7ECC" w:rsidP="00143579">
            <w:pPr>
              <w:rPr>
                <w:rFonts w:ascii="Calibri" w:eastAsia="Times New Roman" w:hAnsi="Calibri" w:cs="Times New Roman"/>
                <w:b/>
                <w:bCs/>
                <w:color w:val="000000"/>
              </w:rPr>
            </w:pPr>
            <w:r w:rsidRPr="005A1929">
              <w:rPr>
                <w:rFonts w:ascii="Calibri" w:eastAsia="Times New Roman" w:hAnsi="Calibri" w:cs="Times New Roman"/>
                <w:b/>
                <w:bCs/>
                <w:color w:val="000000"/>
              </w:rPr>
              <w:t>Grand Total</w:t>
            </w:r>
          </w:p>
        </w:tc>
        <w:tc>
          <w:tcPr>
            <w:tcW w:w="640" w:type="dxa"/>
            <w:tcBorders>
              <w:top w:val="double" w:sz="6" w:space="0" w:color="76933C"/>
              <w:left w:val="nil"/>
              <w:bottom w:val="double" w:sz="6" w:space="0" w:color="76933C"/>
              <w:right w:val="nil"/>
            </w:tcBorders>
            <w:shd w:val="clear" w:color="auto" w:fill="auto"/>
            <w:noWrap/>
            <w:vAlign w:val="bottom"/>
            <w:hideMark/>
          </w:tcPr>
          <w:p w14:paraId="289F45F8" w14:textId="77777777" w:rsidR="002A7ECC" w:rsidRPr="005A1929" w:rsidRDefault="002A7ECC" w:rsidP="00143579">
            <w:pPr>
              <w:jc w:val="right"/>
              <w:rPr>
                <w:rFonts w:ascii="Calibri" w:eastAsia="Times New Roman" w:hAnsi="Calibri" w:cs="Times New Roman"/>
                <w:b/>
                <w:bCs/>
                <w:color w:val="000000"/>
              </w:rPr>
            </w:pPr>
            <w:r w:rsidRPr="005A1929">
              <w:rPr>
                <w:rFonts w:ascii="Calibri" w:eastAsia="Times New Roman" w:hAnsi="Calibri" w:cs="Times New Roman"/>
                <w:b/>
                <w:bCs/>
                <w:color w:val="000000"/>
              </w:rPr>
              <w:t>85</w:t>
            </w:r>
          </w:p>
        </w:tc>
      </w:tr>
      <w:tr w:rsidR="00143579" w:rsidRPr="005A1929" w14:paraId="489A7DF3" w14:textId="77777777" w:rsidTr="00143579">
        <w:trPr>
          <w:trHeight w:val="300"/>
        </w:trPr>
        <w:tc>
          <w:tcPr>
            <w:tcW w:w="2640" w:type="dxa"/>
            <w:tcBorders>
              <w:top w:val="double" w:sz="6" w:space="0" w:color="76933C"/>
              <w:left w:val="nil"/>
              <w:bottom w:val="nil"/>
              <w:right w:val="nil"/>
            </w:tcBorders>
            <w:shd w:val="clear" w:color="auto" w:fill="auto"/>
            <w:noWrap/>
            <w:vAlign w:val="bottom"/>
          </w:tcPr>
          <w:p w14:paraId="69DEA253" w14:textId="77777777" w:rsidR="00143579" w:rsidRDefault="00143579" w:rsidP="00143579">
            <w:pPr>
              <w:rPr>
                <w:rFonts w:ascii="Calibri" w:eastAsia="Times New Roman" w:hAnsi="Calibri" w:cs="Times New Roman"/>
                <w:b/>
                <w:bCs/>
                <w:color w:val="000000"/>
              </w:rPr>
            </w:pPr>
          </w:p>
          <w:p w14:paraId="07018A10" w14:textId="77777777" w:rsidR="00143579" w:rsidRPr="005A1929" w:rsidRDefault="00143579" w:rsidP="00143579">
            <w:pPr>
              <w:rPr>
                <w:rFonts w:ascii="Calibri" w:eastAsia="Times New Roman" w:hAnsi="Calibri" w:cs="Times New Roman"/>
                <w:b/>
                <w:bCs/>
                <w:color w:val="000000"/>
              </w:rPr>
            </w:pPr>
            <w:r>
              <w:rPr>
                <w:noProof/>
              </w:rPr>
              <w:drawing>
                <wp:inline distT="0" distB="0" distL="0" distR="0" wp14:anchorId="54A8B229" wp14:editId="5CC9C7FD">
                  <wp:extent cx="3594100" cy="2540000"/>
                  <wp:effectExtent l="0" t="0" r="12700" b="2540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c>
        <w:tc>
          <w:tcPr>
            <w:tcW w:w="640" w:type="dxa"/>
            <w:tcBorders>
              <w:top w:val="double" w:sz="6" w:space="0" w:color="76933C"/>
              <w:left w:val="nil"/>
              <w:bottom w:val="nil"/>
              <w:right w:val="nil"/>
            </w:tcBorders>
            <w:shd w:val="clear" w:color="auto" w:fill="auto"/>
            <w:noWrap/>
            <w:vAlign w:val="bottom"/>
          </w:tcPr>
          <w:p w14:paraId="611A4A1F" w14:textId="77777777" w:rsidR="00143579" w:rsidRPr="005A1929" w:rsidRDefault="00143579" w:rsidP="00143579">
            <w:pPr>
              <w:jc w:val="right"/>
              <w:rPr>
                <w:rFonts w:ascii="Calibri" w:eastAsia="Times New Roman" w:hAnsi="Calibri" w:cs="Times New Roman"/>
                <w:b/>
                <w:bCs/>
                <w:color w:val="000000"/>
              </w:rPr>
            </w:pPr>
          </w:p>
        </w:tc>
      </w:tr>
    </w:tbl>
    <w:p w14:paraId="1F86E6A1" w14:textId="77777777" w:rsidR="00B11DD9" w:rsidRDefault="00B11DD9" w:rsidP="009B50C8"/>
    <w:p w14:paraId="2AF19412" w14:textId="00830A26" w:rsidR="00143579" w:rsidRDefault="00143579" w:rsidP="009B50C8">
      <w:r>
        <w:rPr>
          <w:noProof/>
        </w:rPr>
        <w:drawing>
          <wp:inline distT="0" distB="0" distL="0" distR="0" wp14:anchorId="3E28F992" wp14:editId="449D2CBA">
            <wp:extent cx="3657600" cy="2400300"/>
            <wp:effectExtent l="0" t="0" r="25400" b="1270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4C74F385" w14:textId="77777777" w:rsidR="00143579" w:rsidRDefault="00B11DD9" w:rsidP="002A7ECC">
      <w:pPr>
        <w:spacing w:line="480" w:lineRule="auto"/>
      </w:pPr>
      <w:r>
        <w:tab/>
      </w:r>
    </w:p>
    <w:p w14:paraId="4C7E8A22" w14:textId="02F32008" w:rsidR="00B11DD9" w:rsidRDefault="00143579" w:rsidP="002A7ECC">
      <w:pPr>
        <w:spacing w:line="480" w:lineRule="auto"/>
      </w:pPr>
      <w:r>
        <w:tab/>
      </w:r>
      <w:r w:rsidR="00B11DD9">
        <w:t xml:space="preserve">Below is the plotted difference in reading levels from the winter to the spring.  I wanted to show how all over the board the scores are.  For the most part, I am extremely proud of the progress the students have made.  There is always room for improvement and that includes the teaching that I am responsible for.  </w:t>
      </w:r>
    </w:p>
    <w:p w14:paraId="154A8329" w14:textId="77777777" w:rsidR="00B11DD9" w:rsidRDefault="00B11DD9" w:rsidP="009B50C8"/>
    <w:p w14:paraId="45C7B373" w14:textId="03525B63" w:rsidR="00B11DD9" w:rsidRDefault="00B11DD9" w:rsidP="009B50C8">
      <w:r>
        <w:rPr>
          <w:noProof/>
        </w:rPr>
        <w:drawing>
          <wp:inline distT="0" distB="0" distL="0" distR="0" wp14:anchorId="0988A243" wp14:editId="56F09836">
            <wp:extent cx="3771900" cy="2476500"/>
            <wp:effectExtent l="0" t="0" r="12700" b="1270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0DF1E40" w14:textId="77777777" w:rsidR="00470095" w:rsidRDefault="00470095" w:rsidP="009B50C8"/>
    <w:p w14:paraId="3A986D92" w14:textId="4D145D53" w:rsidR="00470095" w:rsidRDefault="00470095" w:rsidP="009D3B15">
      <w:pPr>
        <w:spacing w:line="480" w:lineRule="auto"/>
      </w:pPr>
      <w:r>
        <w:tab/>
        <w:t xml:space="preserve">Next, it was important to look at the differences of </w:t>
      </w:r>
      <w:r w:rsidR="009D3B15">
        <w:t xml:space="preserve">the class versus the variety of services the students receive.  The blue represents the winter testing with </w:t>
      </w:r>
      <w:proofErr w:type="spellStart"/>
      <w:r w:rsidR="009D3B15">
        <w:t>AIMSweb</w:t>
      </w:r>
      <w:proofErr w:type="spellEnd"/>
      <w:r w:rsidR="009D3B15">
        <w:t xml:space="preserve"> and the red represents the spring testing.  All areas show a positive growth from winter to spring, but there is a large gap when looking at the students who receive Title One services.  These are students who have been flagged as an academic concern and have intense interventions already set in place.  </w:t>
      </w:r>
    </w:p>
    <w:p w14:paraId="44ABB39B" w14:textId="77777777" w:rsidR="001B78D1" w:rsidRDefault="001B78D1" w:rsidP="009B50C8"/>
    <w:p w14:paraId="0A162C89" w14:textId="1BFF6FA3" w:rsidR="001B78D1" w:rsidRDefault="00470095" w:rsidP="009B50C8">
      <w:r>
        <w:rPr>
          <w:noProof/>
        </w:rPr>
        <w:drawing>
          <wp:inline distT="0" distB="0" distL="0" distR="0" wp14:anchorId="316A866D" wp14:editId="5AAD4782">
            <wp:extent cx="4114800" cy="2565400"/>
            <wp:effectExtent l="0" t="0" r="25400" b="2540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78E77DB" w14:textId="77777777" w:rsidR="00F046FC" w:rsidRDefault="00F046FC" w:rsidP="009B50C8"/>
    <w:p w14:paraId="6F98DC22" w14:textId="27B235DB" w:rsidR="00F046FC" w:rsidRDefault="002A7ECC" w:rsidP="002A7ECC">
      <w:pPr>
        <w:spacing w:line="480" w:lineRule="auto"/>
      </w:pPr>
      <w:r>
        <w:tab/>
      </w:r>
      <w:r w:rsidR="00F046FC">
        <w:t xml:space="preserve">To delve further into this data, I wanted to compare students who receive language services versus those who do not.  This graph represents the growth of the </w:t>
      </w:r>
      <w:proofErr w:type="spellStart"/>
      <w:r w:rsidR="00F046FC">
        <w:t>AIMSweb</w:t>
      </w:r>
      <w:proofErr w:type="spellEnd"/>
      <w:r w:rsidR="00F046FC">
        <w:t xml:space="preserve"> CBM (Curriculum Based Measurement) probe from the winter and spring testing.  Series One is indicating the line of growth for students who do not receive ESL (English as a Second Language) and Series Two </w:t>
      </w:r>
      <w:r>
        <w:t>show</w:t>
      </w:r>
      <w:r w:rsidR="00F046FC">
        <w:t xml:space="preserve"> the growth of students who are pulled out for ESL services.  </w:t>
      </w:r>
    </w:p>
    <w:p w14:paraId="5641F172" w14:textId="77777777" w:rsidR="00F046FC" w:rsidRDefault="00F046FC" w:rsidP="009B50C8"/>
    <w:p w14:paraId="625724CD" w14:textId="417AB2D8" w:rsidR="005A1929" w:rsidRDefault="005A1929" w:rsidP="009B50C8">
      <w:r>
        <w:rPr>
          <w:noProof/>
        </w:rPr>
        <w:drawing>
          <wp:inline distT="0" distB="0" distL="0" distR="0" wp14:anchorId="1B2BF15F" wp14:editId="670C372B">
            <wp:extent cx="3657600" cy="1714500"/>
            <wp:effectExtent l="0" t="0" r="25400" b="1270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9B0207F" w14:textId="77777777" w:rsidR="00143579" w:rsidRDefault="00143579" w:rsidP="009B50C8"/>
    <w:p w14:paraId="14DB5DB7" w14:textId="2228A5A6" w:rsidR="00143579" w:rsidRDefault="00143579" w:rsidP="00143579">
      <w:pPr>
        <w:spacing w:line="480" w:lineRule="auto"/>
      </w:pPr>
      <w:r>
        <w:tab/>
        <w:t xml:space="preserve">All of these different charts give a view of the unique qualities in this first grade room.  Now that the data is available, we can move forward to identify some instructional strategies that may be appropriate to try so that the data continues to show growth in all reading areas.   </w:t>
      </w:r>
    </w:p>
    <w:p w14:paraId="1EC568E5" w14:textId="77777777" w:rsidR="009B50C8" w:rsidRDefault="009B50C8" w:rsidP="009B50C8"/>
    <w:p w14:paraId="24F3E7A1" w14:textId="77777777" w:rsidR="007826C9" w:rsidRDefault="007826C9" w:rsidP="009B50C8">
      <w:pPr>
        <w:rPr>
          <w:u w:val="single"/>
        </w:rPr>
      </w:pPr>
    </w:p>
    <w:p w14:paraId="3C09E494" w14:textId="77777777" w:rsidR="007826C9" w:rsidRDefault="007826C9" w:rsidP="009B50C8">
      <w:pPr>
        <w:rPr>
          <w:u w:val="single"/>
        </w:rPr>
      </w:pPr>
    </w:p>
    <w:p w14:paraId="6292DA7B" w14:textId="77777777" w:rsidR="007826C9" w:rsidRDefault="007826C9" w:rsidP="009B50C8">
      <w:pPr>
        <w:rPr>
          <w:u w:val="single"/>
        </w:rPr>
      </w:pPr>
    </w:p>
    <w:p w14:paraId="36D47CEC" w14:textId="77777777" w:rsidR="007826C9" w:rsidRDefault="007826C9" w:rsidP="009B50C8">
      <w:pPr>
        <w:rPr>
          <w:u w:val="single"/>
        </w:rPr>
      </w:pPr>
    </w:p>
    <w:p w14:paraId="10C93437" w14:textId="77777777" w:rsidR="007826C9" w:rsidRDefault="007826C9" w:rsidP="009B50C8">
      <w:pPr>
        <w:rPr>
          <w:u w:val="single"/>
        </w:rPr>
      </w:pPr>
    </w:p>
    <w:p w14:paraId="11E4EA97" w14:textId="77777777" w:rsidR="007826C9" w:rsidRDefault="007826C9" w:rsidP="009B50C8">
      <w:pPr>
        <w:rPr>
          <w:u w:val="single"/>
        </w:rPr>
      </w:pPr>
    </w:p>
    <w:p w14:paraId="160856B5" w14:textId="77777777" w:rsidR="007826C9" w:rsidRDefault="007826C9" w:rsidP="009B50C8">
      <w:pPr>
        <w:rPr>
          <w:u w:val="single"/>
        </w:rPr>
      </w:pPr>
    </w:p>
    <w:p w14:paraId="58F32BE7" w14:textId="77777777" w:rsidR="007826C9" w:rsidRDefault="007826C9" w:rsidP="009B50C8">
      <w:pPr>
        <w:rPr>
          <w:u w:val="single"/>
        </w:rPr>
      </w:pPr>
    </w:p>
    <w:p w14:paraId="03E82812" w14:textId="77777777" w:rsidR="007826C9" w:rsidRDefault="007826C9" w:rsidP="009B50C8">
      <w:pPr>
        <w:rPr>
          <w:u w:val="single"/>
        </w:rPr>
      </w:pPr>
    </w:p>
    <w:p w14:paraId="7C55E445" w14:textId="77777777" w:rsidR="007826C9" w:rsidRDefault="007826C9" w:rsidP="009B50C8">
      <w:pPr>
        <w:rPr>
          <w:u w:val="single"/>
        </w:rPr>
      </w:pPr>
    </w:p>
    <w:p w14:paraId="062331F1" w14:textId="77777777" w:rsidR="007826C9" w:rsidRDefault="007826C9" w:rsidP="009B50C8">
      <w:pPr>
        <w:rPr>
          <w:u w:val="single"/>
        </w:rPr>
      </w:pPr>
    </w:p>
    <w:p w14:paraId="0F3F9C3B" w14:textId="77777777" w:rsidR="007826C9" w:rsidRDefault="007826C9" w:rsidP="009B50C8">
      <w:pPr>
        <w:rPr>
          <w:u w:val="single"/>
        </w:rPr>
      </w:pPr>
    </w:p>
    <w:p w14:paraId="16594752" w14:textId="77777777" w:rsidR="007826C9" w:rsidRDefault="007826C9" w:rsidP="009B50C8">
      <w:pPr>
        <w:rPr>
          <w:u w:val="single"/>
        </w:rPr>
      </w:pPr>
    </w:p>
    <w:p w14:paraId="7A11DDFE" w14:textId="77777777" w:rsidR="007826C9" w:rsidRDefault="007826C9" w:rsidP="009B50C8">
      <w:pPr>
        <w:rPr>
          <w:u w:val="single"/>
        </w:rPr>
      </w:pPr>
    </w:p>
    <w:p w14:paraId="1A7E44E0" w14:textId="77777777" w:rsidR="007826C9" w:rsidRDefault="007826C9" w:rsidP="009B50C8">
      <w:pPr>
        <w:rPr>
          <w:u w:val="single"/>
        </w:rPr>
      </w:pPr>
    </w:p>
    <w:p w14:paraId="7924F28E" w14:textId="77777777" w:rsidR="007826C9" w:rsidRDefault="007826C9" w:rsidP="009B50C8">
      <w:pPr>
        <w:rPr>
          <w:u w:val="single"/>
        </w:rPr>
      </w:pPr>
    </w:p>
    <w:p w14:paraId="197A1FBC" w14:textId="77777777" w:rsidR="007826C9" w:rsidRDefault="007826C9" w:rsidP="009B50C8">
      <w:pPr>
        <w:rPr>
          <w:u w:val="single"/>
        </w:rPr>
      </w:pPr>
    </w:p>
    <w:p w14:paraId="7D20235E" w14:textId="77777777" w:rsidR="007826C9" w:rsidRDefault="007826C9" w:rsidP="009B50C8">
      <w:pPr>
        <w:rPr>
          <w:u w:val="single"/>
        </w:rPr>
      </w:pPr>
    </w:p>
    <w:p w14:paraId="54F9D691" w14:textId="77777777" w:rsidR="007826C9" w:rsidRDefault="007826C9" w:rsidP="009B50C8">
      <w:pPr>
        <w:rPr>
          <w:u w:val="single"/>
        </w:rPr>
      </w:pPr>
    </w:p>
    <w:p w14:paraId="0FA9579D" w14:textId="77777777" w:rsidR="007826C9" w:rsidRDefault="007826C9" w:rsidP="009B50C8">
      <w:pPr>
        <w:rPr>
          <w:u w:val="single"/>
        </w:rPr>
      </w:pPr>
    </w:p>
    <w:p w14:paraId="6E92DAD4" w14:textId="77777777" w:rsidR="007826C9" w:rsidRDefault="007826C9" w:rsidP="009B50C8">
      <w:pPr>
        <w:rPr>
          <w:u w:val="single"/>
        </w:rPr>
      </w:pPr>
    </w:p>
    <w:p w14:paraId="12E1EB15" w14:textId="77777777" w:rsidR="007826C9" w:rsidRDefault="007826C9" w:rsidP="009B50C8">
      <w:pPr>
        <w:rPr>
          <w:u w:val="single"/>
        </w:rPr>
      </w:pPr>
    </w:p>
    <w:p w14:paraId="0004460C" w14:textId="77777777" w:rsidR="007826C9" w:rsidRDefault="007826C9" w:rsidP="009B50C8">
      <w:pPr>
        <w:rPr>
          <w:u w:val="single"/>
        </w:rPr>
      </w:pPr>
    </w:p>
    <w:p w14:paraId="3EFFDD6D" w14:textId="77777777" w:rsidR="007826C9" w:rsidRDefault="007826C9" w:rsidP="009B50C8">
      <w:pPr>
        <w:rPr>
          <w:u w:val="single"/>
        </w:rPr>
      </w:pPr>
    </w:p>
    <w:p w14:paraId="78DE78BC" w14:textId="77777777" w:rsidR="007826C9" w:rsidRDefault="007826C9" w:rsidP="009B50C8">
      <w:pPr>
        <w:rPr>
          <w:u w:val="single"/>
        </w:rPr>
      </w:pPr>
    </w:p>
    <w:p w14:paraId="09CABFB5" w14:textId="77777777" w:rsidR="007826C9" w:rsidRDefault="007826C9" w:rsidP="009B50C8">
      <w:pPr>
        <w:rPr>
          <w:u w:val="single"/>
        </w:rPr>
      </w:pPr>
    </w:p>
    <w:p w14:paraId="42293C86" w14:textId="77777777" w:rsidR="007826C9" w:rsidRDefault="007826C9" w:rsidP="009B50C8">
      <w:pPr>
        <w:rPr>
          <w:u w:val="single"/>
        </w:rPr>
      </w:pPr>
    </w:p>
    <w:p w14:paraId="4303BC3E" w14:textId="77777777" w:rsidR="007826C9" w:rsidRDefault="007826C9" w:rsidP="009B50C8">
      <w:pPr>
        <w:rPr>
          <w:u w:val="single"/>
        </w:rPr>
      </w:pPr>
    </w:p>
    <w:p w14:paraId="01596F05" w14:textId="77777777" w:rsidR="007826C9" w:rsidRDefault="007826C9" w:rsidP="009B50C8">
      <w:pPr>
        <w:rPr>
          <w:u w:val="single"/>
        </w:rPr>
      </w:pPr>
    </w:p>
    <w:p w14:paraId="5F04B3C9" w14:textId="77777777" w:rsidR="007826C9" w:rsidRDefault="007826C9" w:rsidP="009B50C8">
      <w:pPr>
        <w:rPr>
          <w:u w:val="single"/>
        </w:rPr>
      </w:pPr>
    </w:p>
    <w:p w14:paraId="5271FCDD" w14:textId="77777777" w:rsidR="007826C9" w:rsidRDefault="007826C9" w:rsidP="009B50C8">
      <w:pPr>
        <w:rPr>
          <w:u w:val="single"/>
        </w:rPr>
      </w:pPr>
    </w:p>
    <w:p w14:paraId="79FE7D3A" w14:textId="77777777" w:rsidR="007826C9" w:rsidRDefault="007826C9" w:rsidP="009B50C8">
      <w:pPr>
        <w:rPr>
          <w:u w:val="single"/>
        </w:rPr>
      </w:pPr>
    </w:p>
    <w:p w14:paraId="33171D32" w14:textId="77777777" w:rsidR="007826C9" w:rsidRDefault="007826C9" w:rsidP="009B50C8">
      <w:pPr>
        <w:rPr>
          <w:u w:val="single"/>
        </w:rPr>
      </w:pPr>
    </w:p>
    <w:p w14:paraId="18C7DC36" w14:textId="77777777" w:rsidR="007826C9" w:rsidRDefault="007826C9" w:rsidP="009B50C8">
      <w:pPr>
        <w:rPr>
          <w:u w:val="single"/>
        </w:rPr>
      </w:pPr>
    </w:p>
    <w:p w14:paraId="4657BD50" w14:textId="77777777" w:rsidR="007826C9" w:rsidRDefault="007826C9" w:rsidP="009B50C8">
      <w:pPr>
        <w:rPr>
          <w:u w:val="single"/>
        </w:rPr>
      </w:pPr>
    </w:p>
    <w:p w14:paraId="2F067AA8" w14:textId="77777777" w:rsidR="007826C9" w:rsidRDefault="007826C9" w:rsidP="009B50C8">
      <w:pPr>
        <w:rPr>
          <w:u w:val="single"/>
        </w:rPr>
      </w:pPr>
    </w:p>
    <w:p w14:paraId="1655E4F2" w14:textId="77777777" w:rsidR="009B50C8" w:rsidRPr="004F78B7" w:rsidRDefault="009B50C8" w:rsidP="009B50C8">
      <w:pPr>
        <w:rPr>
          <w:u w:val="single"/>
        </w:rPr>
      </w:pPr>
      <w:r w:rsidRPr="004F78B7">
        <w:rPr>
          <w:u w:val="single"/>
        </w:rPr>
        <w:t>Instructional Strategies</w:t>
      </w:r>
    </w:p>
    <w:p w14:paraId="09037B39" w14:textId="77777777" w:rsidR="000F49A2" w:rsidRDefault="000F49A2" w:rsidP="009B50C8"/>
    <w:p w14:paraId="659AE41D" w14:textId="4DC51BC6" w:rsidR="000F49A2" w:rsidRDefault="001C4EBF" w:rsidP="001C4EBF">
      <w:pPr>
        <w:spacing w:line="480" w:lineRule="auto"/>
      </w:pPr>
      <w:r>
        <w:tab/>
        <w:t xml:space="preserve">After compiling the data, I see a need for better instruction to my male students.  Therefore, I spent some time researching males in reading.  I found many interesting articles and studies.  </w:t>
      </w:r>
      <w:r w:rsidR="0079495F">
        <w:t>The first study looked at reading tutors and their affect on male students.  The article concluded that there was no difference in academic success of male students in regards to a male or female reading tutor (</w:t>
      </w:r>
      <w:proofErr w:type="spellStart"/>
      <w:r w:rsidR="0079495F">
        <w:t>Soka</w:t>
      </w:r>
      <w:proofErr w:type="spellEnd"/>
      <w:r w:rsidR="0079495F">
        <w:t xml:space="preserve">, 2009).  This made me realize that even though I am a female, the instruction is the important aspect that I have control over and has the most affect on the students. </w:t>
      </w:r>
    </w:p>
    <w:p w14:paraId="04DB5C53" w14:textId="484C6674" w:rsidR="0079495F" w:rsidRDefault="0079495F" w:rsidP="001C4EBF">
      <w:pPr>
        <w:spacing w:line="480" w:lineRule="auto"/>
      </w:pPr>
      <w:r>
        <w:tab/>
        <w:t>The next article made me think about how I group my students for guided reading.  This whole year I have been forming groups based on reading levels when I do guided reading.  It made me realize I have neglected to group my students in any other way such as interest or learning style.  The article described a classroom of all boys through interviews and observations.  It was an extremely interesting concept and the author went into reading since historically males have scored lower in reading.  The teacher of the boys-only class did lots of hands-on instruction and proved to have soaring reading scores (Price, 2011).</w:t>
      </w:r>
    </w:p>
    <w:p w14:paraId="3E6F175E" w14:textId="447096B1" w:rsidR="00577524" w:rsidRDefault="00E60312" w:rsidP="001C4EBF">
      <w:pPr>
        <w:spacing w:line="480" w:lineRule="auto"/>
      </w:pPr>
      <w:r>
        <w:tab/>
        <w:t xml:space="preserve">Then I found an article that really hit home to me.  Although the main idea was for African American males who struggle in reading, I do believe the meat of the article would work for all students.  This article covers five strategies to improve reading (Jenkins, 2009).  </w:t>
      </w:r>
      <w:r w:rsidR="001C1BDA">
        <w:t xml:space="preserve">Jenkins stresses that schools need to work as a team, so if a student or group of students in your classroom is receiving services outside your room, you need to be in good communication about what is happening with that student.  They also suggest looping with a teacher in which the student has had success with if possible.  If not, their idea was to figure out which teacher the student will have and then set up a parent-teacher conference with the future teacher before the end of the school year so that communication is set up early.  Jenkins also suggests connecting the book the student is reading to their world as much as possible, which allows them to use their schema and continue building on what they know.  This also excites them and entices them to read.  Students should be allowed to occasionally </w:t>
      </w:r>
      <w:r w:rsidR="0019294B">
        <w:t>choose</w:t>
      </w:r>
      <w:r w:rsidR="001C1BDA">
        <w:t xml:space="preserve"> their own book, or at least the topic.  This idea connected me to the group of students in reading groups and is something I’d like to implement in my room before the end of the year.  Lastly, students should be exposed to a variety of texts about the same topic to expand their understand.  All of </w:t>
      </w:r>
      <w:proofErr w:type="spellStart"/>
      <w:r w:rsidR="001C1BDA">
        <w:t>Jenkin’s</w:t>
      </w:r>
      <w:proofErr w:type="spellEnd"/>
      <w:r w:rsidR="001C1BDA">
        <w:t xml:space="preserve"> ideas make sense and push for better instruction.  </w:t>
      </w:r>
      <w:r w:rsidR="00577524">
        <w:t xml:space="preserve"> </w:t>
      </w:r>
    </w:p>
    <w:p w14:paraId="139D9982" w14:textId="77777777" w:rsidR="009B7F33" w:rsidRDefault="009B7F33" w:rsidP="0019294B">
      <w:pPr>
        <w:rPr>
          <w:u w:val="single"/>
        </w:rPr>
      </w:pPr>
    </w:p>
    <w:p w14:paraId="2016DB88" w14:textId="77777777" w:rsidR="009B7F33" w:rsidRDefault="009B7F33" w:rsidP="0019294B">
      <w:pPr>
        <w:rPr>
          <w:u w:val="single"/>
        </w:rPr>
      </w:pPr>
    </w:p>
    <w:p w14:paraId="27F0B8F0" w14:textId="77777777" w:rsidR="009B7F33" w:rsidRDefault="009B7F33" w:rsidP="0019294B">
      <w:pPr>
        <w:rPr>
          <w:u w:val="single"/>
        </w:rPr>
      </w:pPr>
    </w:p>
    <w:p w14:paraId="58F3A26E" w14:textId="77777777" w:rsidR="009B7F33" w:rsidRDefault="009B7F33" w:rsidP="0019294B">
      <w:pPr>
        <w:rPr>
          <w:u w:val="single"/>
        </w:rPr>
      </w:pPr>
    </w:p>
    <w:p w14:paraId="15AB4E99" w14:textId="77777777" w:rsidR="009B7F33" w:rsidRDefault="009B7F33" w:rsidP="0019294B">
      <w:pPr>
        <w:rPr>
          <w:u w:val="single"/>
        </w:rPr>
      </w:pPr>
    </w:p>
    <w:p w14:paraId="67F307FD" w14:textId="77777777" w:rsidR="009B7F33" w:rsidRDefault="009B7F33" w:rsidP="0019294B">
      <w:pPr>
        <w:rPr>
          <w:u w:val="single"/>
        </w:rPr>
      </w:pPr>
    </w:p>
    <w:p w14:paraId="71866EE4" w14:textId="77777777" w:rsidR="009B7F33" w:rsidRDefault="009B7F33" w:rsidP="0019294B">
      <w:pPr>
        <w:rPr>
          <w:u w:val="single"/>
        </w:rPr>
      </w:pPr>
    </w:p>
    <w:p w14:paraId="269C5BA5" w14:textId="77777777" w:rsidR="007826C9" w:rsidRDefault="007826C9" w:rsidP="0019294B">
      <w:pPr>
        <w:rPr>
          <w:u w:val="single"/>
        </w:rPr>
      </w:pPr>
    </w:p>
    <w:p w14:paraId="57748FE6" w14:textId="77777777" w:rsidR="007826C9" w:rsidRDefault="007826C9" w:rsidP="0019294B">
      <w:pPr>
        <w:rPr>
          <w:u w:val="single"/>
        </w:rPr>
      </w:pPr>
    </w:p>
    <w:p w14:paraId="2DC144EB" w14:textId="77777777" w:rsidR="007826C9" w:rsidRDefault="007826C9" w:rsidP="0019294B">
      <w:pPr>
        <w:rPr>
          <w:u w:val="single"/>
        </w:rPr>
      </w:pPr>
    </w:p>
    <w:p w14:paraId="6A7DC775" w14:textId="77777777" w:rsidR="007826C9" w:rsidRDefault="007826C9" w:rsidP="0019294B">
      <w:pPr>
        <w:rPr>
          <w:u w:val="single"/>
        </w:rPr>
      </w:pPr>
    </w:p>
    <w:p w14:paraId="7659B668" w14:textId="77777777" w:rsidR="007826C9" w:rsidRDefault="007826C9" w:rsidP="0019294B">
      <w:pPr>
        <w:rPr>
          <w:u w:val="single"/>
        </w:rPr>
      </w:pPr>
    </w:p>
    <w:p w14:paraId="6AB7AAFD" w14:textId="77777777" w:rsidR="007826C9" w:rsidRDefault="007826C9" w:rsidP="0019294B">
      <w:pPr>
        <w:rPr>
          <w:u w:val="single"/>
        </w:rPr>
      </w:pPr>
    </w:p>
    <w:p w14:paraId="2327ABD1" w14:textId="77777777" w:rsidR="007826C9" w:rsidRDefault="007826C9" w:rsidP="0019294B">
      <w:pPr>
        <w:rPr>
          <w:u w:val="single"/>
        </w:rPr>
      </w:pPr>
    </w:p>
    <w:p w14:paraId="43F726B9" w14:textId="77777777" w:rsidR="007826C9" w:rsidRDefault="007826C9" w:rsidP="0019294B">
      <w:pPr>
        <w:rPr>
          <w:u w:val="single"/>
        </w:rPr>
      </w:pPr>
    </w:p>
    <w:p w14:paraId="7B957114" w14:textId="77777777" w:rsidR="007826C9" w:rsidRDefault="007826C9" w:rsidP="0019294B">
      <w:pPr>
        <w:rPr>
          <w:u w:val="single"/>
        </w:rPr>
      </w:pPr>
    </w:p>
    <w:p w14:paraId="2F1FFF5B" w14:textId="77777777" w:rsidR="007826C9" w:rsidRDefault="007826C9" w:rsidP="0019294B">
      <w:pPr>
        <w:rPr>
          <w:u w:val="single"/>
        </w:rPr>
      </w:pPr>
    </w:p>
    <w:p w14:paraId="79941FE5" w14:textId="77777777" w:rsidR="007826C9" w:rsidRDefault="007826C9" w:rsidP="0019294B">
      <w:pPr>
        <w:rPr>
          <w:u w:val="single"/>
        </w:rPr>
      </w:pPr>
    </w:p>
    <w:p w14:paraId="42988C3A" w14:textId="77777777" w:rsidR="007826C9" w:rsidRDefault="007826C9" w:rsidP="0019294B">
      <w:pPr>
        <w:rPr>
          <w:u w:val="single"/>
        </w:rPr>
      </w:pPr>
    </w:p>
    <w:p w14:paraId="4D5915F1" w14:textId="77777777" w:rsidR="009B7F33" w:rsidRDefault="009B7F33" w:rsidP="0019294B">
      <w:pPr>
        <w:rPr>
          <w:u w:val="single"/>
        </w:rPr>
      </w:pPr>
    </w:p>
    <w:p w14:paraId="6DAB94CA" w14:textId="77777777" w:rsidR="009B7F33" w:rsidRDefault="009B7F33" w:rsidP="0019294B">
      <w:pPr>
        <w:rPr>
          <w:u w:val="single"/>
        </w:rPr>
      </w:pPr>
    </w:p>
    <w:p w14:paraId="6A780C35" w14:textId="77777777" w:rsidR="009B7F33" w:rsidRDefault="009B7F33" w:rsidP="0019294B">
      <w:pPr>
        <w:rPr>
          <w:u w:val="single"/>
        </w:rPr>
      </w:pPr>
    </w:p>
    <w:p w14:paraId="2EE9B96E" w14:textId="1A46DFCD" w:rsidR="000F49A2" w:rsidRDefault="000F49A2" w:rsidP="0019294B">
      <w:pPr>
        <w:rPr>
          <w:u w:val="single"/>
        </w:rPr>
      </w:pPr>
      <w:r w:rsidRPr="004F78B7">
        <w:rPr>
          <w:u w:val="single"/>
        </w:rPr>
        <w:t>Implementation</w:t>
      </w:r>
      <w:r w:rsidR="009B50C8" w:rsidRPr="004F78B7">
        <w:rPr>
          <w:u w:val="single"/>
        </w:rPr>
        <w:t xml:space="preserve"> Plan</w:t>
      </w:r>
    </w:p>
    <w:p w14:paraId="2C048BF2" w14:textId="77777777" w:rsidR="0019294B" w:rsidRDefault="0019294B" w:rsidP="0019294B">
      <w:pPr>
        <w:rPr>
          <w:u w:val="single"/>
        </w:rPr>
      </w:pPr>
    </w:p>
    <w:p w14:paraId="33C5AEF5" w14:textId="037E53B8" w:rsidR="00090E4C" w:rsidRDefault="00090E4C" w:rsidP="00090E4C">
      <w:pPr>
        <w:spacing w:line="480" w:lineRule="auto"/>
      </w:pPr>
      <w:r>
        <w:tab/>
        <w:t>Since this specific action plan is only for my classroom, the plan is simple to follow.  I did not give each of the following tasks dates, because I am not sure how long to give each one yet.  I need these to be completed within three weeks time and I believe that is an attainable goal.  I believe the students will become engaged in this project and will enjoy the new groups, topic focus, the added technology piece and sharing.</w:t>
      </w:r>
    </w:p>
    <w:p w14:paraId="5BBB7DB1" w14:textId="5EBF9334" w:rsidR="00CB3BFE" w:rsidRPr="00090E4C" w:rsidRDefault="00D91D4C" w:rsidP="00090E4C">
      <w:pPr>
        <w:spacing w:line="480" w:lineRule="auto"/>
      </w:pPr>
      <w:r>
        <w:tab/>
        <w:t>My overall objective is to m</w:t>
      </w:r>
      <w:r w:rsidR="00CB3BFE">
        <w:t>odify the groupings of guided reading to allow males to read about their interests through a variety of texts.</w:t>
      </w:r>
      <w:r>
        <w:t xml:space="preserve">  I have created an organized table with the strategies that I will perform as the teacher, what I expect from the students, and what will be seen in the classroom.  I plan on sharing this with the students so they can see that we are all accountable for learning.  </w:t>
      </w:r>
    </w:p>
    <w:tbl>
      <w:tblPr>
        <w:tblStyle w:val="TableGrid"/>
        <w:tblW w:w="0" w:type="auto"/>
        <w:tblLook w:val="04A0" w:firstRow="1" w:lastRow="0" w:firstColumn="1" w:lastColumn="0" w:noHBand="0" w:noVBand="1"/>
      </w:tblPr>
      <w:tblGrid>
        <w:gridCol w:w="1818"/>
        <w:gridCol w:w="7038"/>
      </w:tblGrid>
      <w:tr w:rsidR="0019294B" w14:paraId="4C122019" w14:textId="77777777" w:rsidTr="0019294B">
        <w:tc>
          <w:tcPr>
            <w:tcW w:w="1818" w:type="dxa"/>
          </w:tcPr>
          <w:p w14:paraId="1146A412" w14:textId="5C3937BB" w:rsidR="0019294B" w:rsidRDefault="0019294B" w:rsidP="0019294B">
            <w:pPr>
              <w:spacing w:line="480" w:lineRule="auto"/>
              <w:jc w:val="center"/>
            </w:pPr>
            <w:r>
              <w:t>Teacher</w:t>
            </w:r>
          </w:p>
        </w:tc>
        <w:tc>
          <w:tcPr>
            <w:tcW w:w="7038" w:type="dxa"/>
          </w:tcPr>
          <w:p w14:paraId="45799FE6" w14:textId="77777777" w:rsidR="0019294B" w:rsidRDefault="0019294B" w:rsidP="0019294B">
            <w:r>
              <w:t>-Form student groups by gender</w:t>
            </w:r>
          </w:p>
          <w:p w14:paraId="57C99910" w14:textId="6C01CFA1" w:rsidR="00654A11" w:rsidRDefault="00654A11" w:rsidP="0019294B">
            <w:r>
              <w:t>-Survey students on topics they would like to read about</w:t>
            </w:r>
          </w:p>
          <w:p w14:paraId="7D9C3BE2" w14:textId="00AD1A29" w:rsidR="0019294B" w:rsidRDefault="0019294B" w:rsidP="0019294B">
            <w:r>
              <w:t>-Select a variety of t</w:t>
            </w:r>
            <w:r w:rsidR="00090E4C">
              <w:t>opics for groups to choose from</w:t>
            </w:r>
          </w:p>
          <w:p w14:paraId="146B649C" w14:textId="0C6F1866" w:rsidR="0019294B" w:rsidRDefault="0019294B" w:rsidP="0019294B">
            <w:r>
              <w:t>-</w:t>
            </w:r>
            <w:r w:rsidR="00654A11">
              <w:t>Provide</w:t>
            </w:r>
            <w:r>
              <w:t xml:space="preserve"> a variety o</w:t>
            </w:r>
            <w:r w:rsidR="00090E4C">
              <w:t xml:space="preserve">f books including </w:t>
            </w:r>
            <w:r>
              <w:t>fiction, non-fiction, news print, internet sites, and so on for each topic</w:t>
            </w:r>
          </w:p>
          <w:p w14:paraId="19303B68" w14:textId="77777777" w:rsidR="00090E4C" w:rsidRDefault="00090E4C" w:rsidP="0019294B">
            <w:r>
              <w:t xml:space="preserve">-Plan lessons that cover each topic thoroughly </w:t>
            </w:r>
          </w:p>
          <w:p w14:paraId="5E10F84A" w14:textId="10DC9F6B" w:rsidR="00090E4C" w:rsidRDefault="00090E4C" w:rsidP="0019294B">
            <w:r>
              <w:t>-Share lessons with parents and school staff that work with given students</w:t>
            </w:r>
          </w:p>
        </w:tc>
      </w:tr>
      <w:tr w:rsidR="0019294B" w14:paraId="4AD4AE8D" w14:textId="77777777" w:rsidTr="0019294B">
        <w:tc>
          <w:tcPr>
            <w:tcW w:w="1818" w:type="dxa"/>
          </w:tcPr>
          <w:p w14:paraId="6E664A87" w14:textId="6A63C72B" w:rsidR="0019294B" w:rsidRDefault="0019294B" w:rsidP="0019294B">
            <w:pPr>
              <w:spacing w:line="480" w:lineRule="auto"/>
              <w:jc w:val="center"/>
            </w:pPr>
            <w:r>
              <w:t>Students</w:t>
            </w:r>
          </w:p>
        </w:tc>
        <w:tc>
          <w:tcPr>
            <w:tcW w:w="7038" w:type="dxa"/>
          </w:tcPr>
          <w:p w14:paraId="7ADC7F1E" w14:textId="77777777" w:rsidR="0019294B" w:rsidRDefault="00090E4C" w:rsidP="00090E4C">
            <w:r>
              <w:t>-Read a variety of books about chosen topic</w:t>
            </w:r>
          </w:p>
          <w:p w14:paraId="0C8D0129" w14:textId="4D04F0A0" w:rsidR="00090E4C" w:rsidRDefault="00090E4C" w:rsidP="00090E4C">
            <w:r>
              <w:t xml:space="preserve">-Create a connection page via </w:t>
            </w:r>
            <w:r w:rsidR="00644DDC">
              <w:t>G</w:t>
            </w:r>
            <w:r>
              <w:t>logster on how your topic pertains to you/school/community/world</w:t>
            </w:r>
          </w:p>
          <w:p w14:paraId="65460903" w14:textId="083791A1" w:rsidR="00090E4C" w:rsidRDefault="008B754A" w:rsidP="00090E4C">
            <w:r>
              <w:t>-Share your G</w:t>
            </w:r>
            <w:r w:rsidR="00090E4C">
              <w:t>logster with your family and any staff at school</w:t>
            </w:r>
          </w:p>
        </w:tc>
      </w:tr>
      <w:tr w:rsidR="0019294B" w14:paraId="2CCCA08E" w14:textId="77777777" w:rsidTr="0019294B">
        <w:tc>
          <w:tcPr>
            <w:tcW w:w="1818" w:type="dxa"/>
          </w:tcPr>
          <w:p w14:paraId="65ADAC99" w14:textId="18722FAE" w:rsidR="0019294B" w:rsidRDefault="0019294B" w:rsidP="0019294B">
            <w:pPr>
              <w:spacing w:line="480" w:lineRule="auto"/>
              <w:jc w:val="center"/>
            </w:pPr>
            <w:r>
              <w:t>Classroom</w:t>
            </w:r>
          </w:p>
        </w:tc>
        <w:tc>
          <w:tcPr>
            <w:tcW w:w="7038" w:type="dxa"/>
          </w:tcPr>
          <w:p w14:paraId="48E127C6" w14:textId="16DD3D8D" w:rsidR="0019294B" w:rsidRDefault="008B754A" w:rsidP="00090E4C">
            <w:r>
              <w:t>-Post G</w:t>
            </w:r>
            <w:r w:rsidR="00090E4C">
              <w:t>logsters to the class website</w:t>
            </w:r>
          </w:p>
          <w:p w14:paraId="52C3637D" w14:textId="54AE0A15" w:rsidR="00090E4C" w:rsidRDefault="00090E4C" w:rsidP="00090E4C">
            <w:r>
              <w:t>-Allow time for students to share within their guided reading groups, and with other groups</w:t>
            </w:r>
          </w:p>
        </w:tc>
      </w:tr>
    </w:tbl>
    <w:p w14:paraId="205E6574" w14:textId="77777777" w:rsidR="00090E4C" w:rsidRDefault="00090E4C" w:rsidP="009B50C8"/>
    <w:p w14:paraId="1A792CCA" w14:textId="77777777" w:rsidR="009B7F33" w:rsidRDefault="009B7F33" w:rsidP="009B50C8">
      <w:pPr>
        <w:rPr>
          <w:u w:val="single"/>
        </w:rPr>
      </w:pPr>
    </w:p>
    <w:p w14:paraId="35B80B90" w14:textId="77777777" w:rsidR="009B7F33" w:rsidRDefault="009B7F33" w:rsidP="009B50C8">
      <w:pPr>
        <w:rPr>
          <w:u w:val="single"/>
        </w:rPr>
      </w:pPr>
    </w:p>
    <w:p w14:paraId="70A06668" w14:textId="77777777" w:rsidR="009B7F33" w:rsidRDefault="009B7F33" w:rsidP="009B50C8">
      <w:pPr>
        <w:rPr>
          <w:u w:val="single"/>
        </w:rPr>
      </w:pPr>
    </w:p>
    <w:p w14:paraId="54858E7A" w14:textId="77777777" w:rsidR="009B7F33" w:rsidRDefault="009B7F33" w:rsidP="009B50C8">
      <w:pPr>
        <w:rPr>
          <w:u w:val="single"/>
        </w:rPr>
      </w:pPr>
    </w:p>
    <w:p w14:paraId="2E57937B" w14:textId="77777777" w:rsidR="009B7F33" w:rsidRDefault="009B7F33" w:rsidP="009B50C8">
      <w:pPr>
        <w:rPr>
          <w:u w:val="single"/>
        </w:rPr>
      </w:pPr>
      <w:bookmarkStart w:id="0" w:name="_GoBack"/>
      <w:bookmarkEnd w:id="0"/>
    </w:p>
    <w:p w14:paraId="577B7A3D" w14:textId="370D68BA" w:rsidR="000F49A2" w:rsidRDefault="000F49A2" w:rsidP="009B50C8">
      <w:pPr>
        <w:rPr>
          <w:u w:val="single"/>
        </w:rPr>
      </w:pPr>
      <w:r w:rsidRPr="004F78B7">
        <w:rPr>
          <w:u w:val="single"/>
        </w:rPr>
        <w:t>Conclusion</w:t>
      </w:r>
    </w:p>
    <w:p w14:paraId="7BEB7FDB" w14:textId="77777777" w:rsidR="007E563C" w:rsidRDefault="007E563C" w:rsidP="009B50C8">
      <w:pPr>
        <w:rPr>
          <w:u w:val="single"/>
        </w:rPr>
      </w:pPr>
    </w:p>
    <w:p w14:paraId="1494EE2C" w14:textId="4327A355" w:rsidR="007E563C" w:rsidRDefault="00090E4C" w:rsidP="00090E4C">
      <w:pPr>
        <w:spacing w:line="480" w:lineRule="auto"/>
      </w:pPr>
      <w:r w:rsidRPr="00090E4C">
        <w:tab/>
      </w:r>
      <w:r>
        <w:t xml:space="preserve">By combining the ideas in </w:t>
      </w:r>
      <w:r w:rsidR="00654A11">
        <w:t xml:space="preserve">Price’s article and </w:t>
      </w:r>
      <w:proofErr w:type="spellStart"/>
      <w:r>
        <w:t>Jenkin’s</w:t>
      </w:r>
      <w:proofErr w:type="spellEnd"/>
      <w:r>
        <w:t xml:space="preserve"> article, I came up with improved instruction to hopefully increase both the reading desire and ability of my male students.  Although this is to increase the data of the male population in my first grade class, I believe it will also benefit the females in the class.  </w:t>
      </w:r>
    </w:p>
    <w:p w14:paraId="1AD9F0BF" w14:textId="37C375D3" w:rsidR="00090E4C" w:rsidRDefault="00090E4C" w:rsidP="00090E4C">
      <w:pPr>
        <w:spacing w:line="480" w:lineRule="auto"/>
      </w:pPr>
      <w:r>
        <w:tab/>
        <w:t xml:space="preserve">My main goals are to form gender specific groups, allow the groups to pick a topic to read about, provide a variety of texts about that topic, and allow the students to share their connections to their world via Glogster.  While this is going on in the classroom, I will be keeping all staff that work with the students up to date on what we are doing as well as updating the parents through our newsletter and class website.  </w:t>
      </w:r>
    </w:p>
    <w:p w14:paraId="7C822929" w14:textId="60558297" w:rsidR="004213BD" w:rsidRPr="00090E4C" w:rsidRDefault="004213BD" w:rsidP="00090E4C">
      <w:pPr>
        <w:spacing w:line="480" w:lineRule="auto"/>
      </w:pPr>
      <w:r>
        <w:tab/>
        <w:t xml:space="preserve">I will be observing students, listening to them read and discuss, and viewing their progress on Glogster to see if there are in fact improvements for males in reading.  This seems like a fun, yet academic way to end our year.  </w:t>
      </w:r>
    </w:p>
    <w:p w14:paraId="687ACD3F" w14:textId="62B1BDC2" w:rsidR="0019294B" w:rsidRDefault="00654A11" w:rsidP="0019294B">
      <w:pPr>
        <w:rPr>
          <w:rFonts w:ascii="Times New Roman" w:hAnsi="Times New Roman" w:cs="Times New Roman"/>
          <w:color w:val="262626"/>
        </w:rPr>
      </w:pPr>
      <w:r>
        <w:rPr>
          <w:rFonts w:ascii="Times New Roman" w:hAnsi="Times New Roman" w:cs="Times New Roman"/>
          <w:color w:val="262626"/>
        </w:rPr>
        <w:tab/>
      </w:r>
    </w:p>
    <w:p w14:paraId="4A20EA2A" w14:textId="77777777" w:rsidR="0019294B" w:rsidRDefault="0019294B" w:rsidP="0019294B">
      <w:pPr>
        <w:rPr>
          <w:rFonts w:ascii="Times New Roman" w:hAnsi="Times New Roman" w:cs="Times New Roman"/>
          <w:color w:val="262626"/>
        </w:rPr>
      </w:pPr>
    </w:p>
    <w:p w14:paraId="70C1AE79" w14:textId="77777777" w:rsidR="009B7F33" w:rsidRDefault="009B7F33" w:rsidP="0019294B">
      <w:pPr>
        <w:rPr>
          <w:rFonts w:ascii="Times New Roman" w:hAnsi="Times New Roman" w:cs="Times New Roman"/>
          <w:color w:val="262626"/>
        </w:rPr>
      </w:pPr>
    </w:p>
    <w:p w14:paraId="514F3B29" w14:textId="77777777" w:rsidR="009B7F33" w:rsidRDefault="009B7F33" w:rsidP="0019294B">
      <w:pPr>
        <w:rPr>
          <w:rFonts w:ascii="Times New Roman" w:hAnsi="Times New Roman" w:cs="Times New Roman"/>
          <w:color w:val="262626"/>
        </w:rPr>
      </w:pPr>
    </w:p>
    <w:p w14:paraId="679D809D" w14:textId="77777777" w:rsidR="009B7F33" w:rsidRDefault="009B7F33" w:rsidP="0019294B">
      <w:pPr>
        <w:rPr>
          <w:rFonts w:ascii="Times New Roman" w:hAnsi="Times New Roman" w:cs="Times New Roman"/>
          <w:color w:val="262626"/>
        </w:rPr>
      </w:pPr>
    </w:p>
    <w:p w14:paraId="205BF661" w14:textId="77777777" w:rsidR="009B7F33" w:rsidRDefault="009B7F33" w:rsidP="0019294B">
      <w:pPr>
        <w:rPr>
          <w:rFonts w:ascii="Times New Roman" w:hAnsi="Times New Roman" w:cs="Times New Roman"/>
          <w:color w:val="262626"/>
        </w:rPr>
      </w:pPr>
    </w:p>
    <w:p w14:paraId="0307BDEF" w14:textId="77777777" w:rsidR="009B7F33" w:rsidRDefault="009B7F33" w:rsidP="0019294B">
      <w:pPr>
        <w:rPr>
          <w:rFonts w:ascii="Times New Roman" w:hAnsi="Times New Roman" w:cs="Times New Roman"/>
          <w:color w:val="262626"/>
        </w:rPr>
      </w:pPr>
    </w:p>
    <w:p w14:paraId="5B0E335E" w14:textId="77777777" w:rsidR="009B7F33" w:rsidRDefault="009B7F33" w:rsidP="0019294B">
      <w:pPr>
        <w:rPr>
          <w:rFonts w:ascii="Times New Roman" w:hAnsi="Times New Roman" w:cs="Times New Roman"/>
          <w:color w:val="262626"/>
        </w:rPr>
      </w:pPr>
    </w:p>
    <w:p w14:paraId="4AD58A2C" w14:textId="77777777" w:rsidR="009B7F33" w:rsidRDefault="009B7F33" w:rsidP="0019294B">
      <w:pPr>
        <w:rPr>
          <w:rFonts w:ascii="Times New Roman" w:hAnsi="Times New Roman" w:cs="Times New Roman"/>
          <w:color w:val="262626"/>
        </w:rPr>
      </w:pPr>
    </w:p>
    <w:p w14:paraId="7D228F79" w14:textId="77777777" w:rsidR="009B7F33" w:rsidRDefault="009B7F33" w:rsidP="0019294B">
      <w:pPr>
        <w:rPr>
          <w:rFonts w:ascii="Times New Roman" w:hAnsi="Times New Roman" w:cs="Times New Roman"/>
          <w:color w:val="262626"/>
        </w:rPr>
      </w:pPr>
    </w:p>
    <w:p w14:paraId="31E71ED4" w14:textId="77777777" w:rsidR="009B7F33" w:rsidRDefault="009B7F33" w:rsidP="0019294B">
      <w:pPr>
        <w:rPr>
          <w:rFonts w:ascii="Times New Roman" w:hAnsi="Times New Roman" w:cs="Times New Roman"/>
          <w:color w:val="262626"/>
        </w:rPr>
      </w:pPr>
    </w:p>
    <w:p w14:paraId="0A9666E3" w14:textId="77777777" w:rsidR="009B7F33" w:rsidRDefault="009B7F33" w:rsidP="0019294B">
      <w:pPr>
        <w:rPr>
          <w:rFonts w:ascii="Times New Roman" w:hAnsi="Times New Roman" w:cs="Times New Roman"/>
          <w:color w:val="262626"/>
        </w:rPr>
      </w:pPr>
    </w:p>
    <w:p w14:paraId="46F5CAF6" w14:textId="77777777" w:rsidR="009B7F33" w:rsidRDefault="009B7F33" w:rsidP="0019294B">
      <w:pPr>
        <w:rPr>
          <w:rFonts w:ascii="Times New Roman" w:hAnsi="Times New Roman" w:cs="Times New Roman"/>
          <w:color w:val="262626"/>
        </w:rPr>
      </w:pPr>
    </w:p>
    <w:p w14:paraId="5E78178E" w14:textId="77777777" w:rsidR="009B7F33" w:rsidRDefault="009B7F33" w:rsidP="0019294B">
      <w:pPr>
        <w:rPr>
          <w:rFonts w:ascii="Times New Roman" w:hAnsi="Times New Roman" w:cs="Times New Roman"/>
          <w:color w:val="262626"/>
        </w:rPr>
      </w:pPr>
    </w:p>
    <w:p w14:paraId="402C9AC5" w14:textId="77777777" w:rsidR="009B7F33" w:rsidRDefault="009B7F33" w:rsidP="0019294B">
      <w:pPr>
        <w:rPr>
          <w:rFonts w:ascii="Times New Roman" w:hAnsi="Times New Roman" w:cs="Times New Roman"/>
          <w:color w:val="262626"/>
        </w:rPr>
      </w:pPr>
    </w:p>
    <w:p w14:paraId="0A3A5EE5" w14:textId="77777777" w:rsidR="009B7F33" w:rsidRDefault="009B7F33" w:rsidP="0019294B">
      <w:pPr>
        <w:rPr>
          <w:rFonts w:ascii="Times New Roman" w:hAnsi="Times New Roman" w:cs="Times New Roman"/>
          <w:color w:val="262626"/>
        </w:rPr>
      </w:pPr>
    </w:p>
    <w:p w14:paraId="7C573D2C" w14:textId="77777777" w:rsidR="009B7F33" w:rsidRDefault="009B7F33" w:rsidP="0019294B">
      <w:pPr>
        <w:rPr>
          <w:rFonts w:ascii="Times New Roman" w:hAnsi="Times New Roman" w:cs="Times New Roman"/>
          <w:color w:val="262626"/>
        </w:rPr>
      </w:pPr>
    </w:p>
    <w:p w14:paraId="6BC425E5" w14:textId="77777777" w:rsidR="0019294B" w:rsidRDefault="0019294B" w:rsidP="0019294B">
      <w:pPr>
        <w:rPr>
          <w:rFonts w:ascii="Times New Roman" w:hAnsi="Times New Roman" w:cs="Times New Roman"/>
          <w:color w:val="262626"/>
        </w:rPr>
      </w:pPr>
    </w:p>
    <w:p w14:paraId="5EEEBDD2" w14:textId="1ADCF50E" w:rsidR="0019294B" w:rsidRDefault="0019294B" w:rsidP="0019294B">
      <w:pPr>
        <w:jc w:val="center"/>
        <w:rPr>
          <w:rFonts w:ascii="Times New Roman" w:hAnsi="Times New Roman" w:cs="Times New Roman"/>
          <w:color w:val="262626"/>
        </w:rPr>
      </w:pPr>
      <w:r>
        <w:rPr>
          <w:rFonts w:ascii="Times New Roman" w:hAnsi="Times New Roman" w:cs="Times New Roman"/>
          <w:color w:val="262626"/>
        </w:rPr>
        <w:t>References</w:t>
      </w:r>
    </w:p>
    <w:p w14:paraId="07F51668" w14:textId="77777777" w:rsidR="0019294B" w:rsidRDefault="0019294B" w:rsidP="0019294B">
      <w:pPr>
        <w:rPr>
          <w:rFonts w:ascii="Times New Roman" w:hAnsi="Times New Roman" w:cs="Times New Roman"/>
          <w:color w:val="262626"/>
        </w:rPr>
      </w:pPr>
    </w:p>
    <w:p w14:paraId="5B6E0A7B" w14:textId="4694E768" w:rsidR="0019294B" w:rsidRPr="00E13000" w:rsidRDefault="0019294B" w:rsidP="0019294B">
      <w:pPr>
        <w:rPr>
          <w:rFonts w:ascii="Times New Roman" w:hAnsi="Times New Roman" w:cs="Times New Roman"/>
        </w:rPr>
      </w:pPr>
      <w:r w:rsidRPr="00E13000">
        <w:rPr>
          <w:rFonts w:ascii="Times New Roman" w:hAnsi="Times New Roman" w:cs="Times New Roman"/>
          <w:color w:val="262626"/>
        </w:rPr>
        <w:t xml:space="preserve">Jenkins, S. (2009). </w:t>
      </w:r>
      <w:r w:rsidRPr="00CB3BFE">
        <w:rPr>
          <w:rFonts w:ascii="Times New Roman" w:hAnsi="Times New Roman" w:cs="Times New Roman"/>
          <w:i/>
          <w:color w:val="262626"/>
        </w:rPr>
        <w:t xml:space="preserve">How to Maintain School Reading Success: Five Recommendations </w:t>
      </w:r>
      <w:r w:rsidR="00CB3BFE">
        <w:rPr>
          <w:rFonts w:ascii="Times New Roman" w:hAnsi="Times New Roman" w:cs="Times New Roman"/>
          <w:i/>
          <w:color w:val="262626"/>
        </w:rPr>
        <w:tab/>
      </w:r>
      <w:r w:rsidRPr="00CB3BFE">
        <w:rPr>
          <w:rFonts w:ascii="Times New Roman" w:hAnsi="Times New Roman" w:cs="Times New Roman"/>
          <w:i/>
          <w:color w:val="262626"/>
        </w:rPr>
        <w:t>from a Struggling Male Reader.</w:t>
      </w:r>
      <w:r w:rsidRPr="00E13000">
        <w:rPr>
          <w:rFonts w:ascii="Times New Roman" w:hAnsi="Times New Roman" w:cs="Times New Roman"/>
          <w:color w:val="262626"/>
        </w:rPr>
        <w:t xml:space="preserve"> </w:t>
      </w:r>
      <w:proofErr w:type="gramStart"/>
      <w:r w:rsidRPr="00E13000">
        <w:rPr>
          <w:rFonts w:ascii="Times New Roman" w:hAnsi="Times New Roman" w:cs="Times New Roman"/>
          <w:color w:val="262626"/>
        </w:rPr>
        <w:t>Reading Teacher, 63(2), 159-162.</w:t>
      </w:r>
      <w:proofErr w:type="gramEnd"/>
    </w:p>
    <w:p w14:paraId="1F8F8E8C" w14:textId="77777777" w:rsidR="007E563C" w:rsidRDefault="007E563C" w:rsidP="009B50C8">
      <w:pPr>
        <w:rPr>
          <w:rFonts w:ascii="Times New Roman" w:hAnsi="Times New Roman" w:cs="Times New Roman"/>
          <w:color w:val="262626"/>
        </w:rPr>
      </w:pPr>
    </w:p>
    <w:p w14:paraId="1D722910" w14:textId="597E6077" w:rsidR="007E563C" w:rsidRDefault="007E563C" w:rsidP="009B50C8">
      <w:pPr>
        <w:rPr>
          <w:rFonts w:ascii="Times New Roman" w:hAnsi="Times New Roman" w:cs="Times New Roman"/>
          <w:color w:val="262626"/>
        </w:rPr>
      </w:pPr>
      <w:r w:rsidRPr="008D0B26">
        <w:rPr>
          <w:rFonts w:ascii="Times New Roman" w:hAnsi="Times New Roman" w:cs="Times New Roman"/>
          <w:color w:val="262626"/>
        </w:rPr>
        <w:t xml:space="preserve">Price, C. D. (2011). </w:t>
      </w:r>
      <w:r w:rsidRPr="00CB3BFE">
        <w:rPr>
          <w:rFonts w:ascii="Times New Roman" w:hAnsi="Times New Roman" w:cs="Times New Roman"/>
          <w:i/>
          <w:color w:val="262626"/>
        </w:rPr>
        <w:t xml:space="preserve">Boys Only: One Co-Educational Primary School's Experience of a </w:t>
      </w:r>
      <w:r w:rsidR="00CB3BFE">
        <w:rPr>
          <w:rFonts w:ascii="Times New Roman" w:hAnsi="Times New Roman" w:cs="Times New Roman"/>
          <w:i/>
          <w:color w:val="262626"/>
        </w:rPr>
        <w:tab/>
      </w:r>
      <w:r w:rsidRPr="00CB3BFE">
        <w:rPr>
          <w:rFonts w:ascii="Times New Roman" w:hAnsi="Times New Roman" w:cs="Times New Roman"/>
          <w:i/>
          <w:color w:val="262626"/>
        </w:rPr>
        <w:t>Classroom for Boys</w:t>
      </w:r>
      <w:r w:rsidRPr="008D0B26">
        <w:rPr>
          <w:rFonts w:ascii="Times New Roman" w:hAnsi="Times New Roman" w:cs="Times New Roman"/>
          <w:color w:val="262626"/>
        </w:rPr>
        <w:t xml:space="preserve">. </w:t>
      </w:r>
      <w:proofErr w:type="gramStart"/>
      <w:r w:rsidRPr="008D0B26">
        <w:rPr>
          <w:rFonts w:ascii="Times New Roman" w:hAnsi="Times New Roman" w:cs="Times New Roman"/>
          <w:color w:val="262626"/>
        </w:rPr>
        <w:t>Australian Journal Of Teacher Education, 36(9), 72-89.</w:t>
      </w:r>
      <w:proofErr w:type="gramEnd"/>
    </w:p>
    <w:p w14:paraId="6CA093FE" w14:textId="4150FFB1" w:rsidR="00E13000" w:rsidRDefault="00E13000" w:rsidP="009B50C8">
      <w:pPr>
        <w:rPr>
          <w:rFonts w:ascii="Times New Roman" w:hAnsi="Times New Roman" w:cs="Times New Roman"/>
        </w:rPr>
      </w:pPr>
    </w:p>
    <w:p w14:paraId="1BAA1F2D" w14:textId="34065A30" w:rsidR="0019294B" w:rsidRDefault="0019294B" w:rsidP="0019294B">
      <w:pPr>
        <w:rPr>
          <w:rFonts w:ascii="Times New Roman" w:hAnsi="Times New Roman" w:cs="Times New Roman"/>
          <w:color w:val="262626"/>
        </w:rPr>
      </w:pPr>
      <w:proofErr w:type="spellStart"/>
      <w:r w:rsidRPr="007E563C">
        <w:rPr>
          <w:rFonts w:ascii="Times New Roman" w:hAnsi="Times New Roman" w:cs="Times New Roman"/>
          <w:color w:val="262626"/>
        </w:rPr>
        <w:t>Sokal</w:t>
      </w:r>
      <w:proofErr w:type="spellEnd"/>
      <w:r w:rsidRPr="007E563C">
        <w:rPr>
          <w:rFonts w:ascii="Times New Roman" w:hAnsi="Times New Roman" w:cs="Times New Roman"/>
          <w:color w:val="262626"/>
        </w:rPr>
        <w:t xml:space="preserve">, L., </w:t>
      </w:r>
      <w:proofErr w:type="spellStart"/>
      <w:r w:rsidRPr="007E563C">
        <w:rPr>
          <w:rFonts w:ascii="Times New Roman" w:hAnsi="Times New Roman" w:cs="Times New Roman"/>
          <w:color w:val="262626"/>
        </w:rPr>
        <w:t>Thiem</w:t>
      </w:r>
      <w:proofErr w:type="spellEnd"/>
      <w:r w:rsidRPr="007E563C">
        <w:rPr>
          <w:rFonts w:ascii="Times New Roman" w:hAnsi="Times New Roman" w:cs="Times New Roman"/>
          <w:color w:val="262626"/>
        </w:rPr>
        <w:t xml:space="preserve">, C., </w:t>
      </w:r>
      <w:proofErr w:type="spellStart"/>
      <w:r w:rsidRPr="007E563C">
        <w:rPr>
          <w:rFonts w:ascii="Times New Roman" w:hAnsi="Times New Roman" w:cs="Times New Roman"/>
          <w:color w:val="262626"/>
        </w:rPr>
        <w:t>Crampton</w:t>
      </w:r>
      <w:proofErr w:type="spellEnd"/>
      <w:r w:rsidRPr="007E563C">
        <w:rPr>
          <w:rFonts w:ascii="Times New Roman" w:hAnsi="Times New Roman" w:cs="Times New Roman"/>
          <w:color w:val="262626"/>
        </w:rPr>
        <w:t xml:space="preserve">, A., &amp; Katz, H. (2009). </w:t>
      </w:r>
      <w:r w:rsidRPr="00CB3BFE">
        <w:rPr>
          <w:rFonts w:ascii="Times New Roman" w:hAnsi="Times New Roman" w:cs="Times New Roman"/>
          <w:i/>
          <w:color w:val="262626"/>
        </w:rPr>
        <w:t xml:space="preserve">Differential Effects of Male and </w:t>
      </w:r>
      <w:r w:rsidR="00CB3BFE">
        <w:rPr>
          <w:rFonts w:ascii="Times New Roman" w:hAnsi="Times New Roman" w:cs="Times New Roman"/>
          <w:i/>
          <w:color w:val="262626"/>
        </w:rPr>
        <w:tab/>
      </w:r>
      <w:r w:rsidRPr="00CB3BFE">
        <w:rPr>
          <w:rFonts w:ascii="Times New Roman" w:hAnsi="Times New Roman" w:cs="Times New Roman"/>
          <w:i/>
          <w:color w:val="262626"/>
        </w:rPr>
        <w:t>Female Reading Tutors Based on Boys' Gendered Views of Reading</w:t>
      </w:r>
      <w:r w:rsidRPr="007E563C">
        <w:rPr>
          <w:rFonts w:ascii="Times New Roman" w:hAnsi="Times New Roman" w:cs="Times New Roman"/>
          <w:color w:val="262626"/>
        </w:rPr>
        <w:t xml:space="preserve">. </w:t>
      </w:r>
      <w:proofErr w:type="gramStart"/>
      <w:r w:rsidRPr="007E563C">
        <w:rPr>
          <w:rFonts w:ascii="Times New Roman" w:hAnsi="Times New Roman" w:cs="Times New Roman"/>
          <w:color w:val="262626"/>
        </w:rPr>
        <w:t xml:space="preserve">Canadian </w:t>
      </w:r>
      <w:r w:rsidR="00CB3BFE">
        <w:rPr>
          <w:rFonts w:ascii="Times New Roman" w:hAnsi="Times New Roman" w:cs="Times New Roman"/>
          <w:color w:val="262626"/>
        </w:rPr>
        <w:tab/>
      </w:r>
      <w:r w:rsidRPr="007E563C">
        <w:rPr>
          <w:rFonts w:ascii="Times New Roman" w:hAnsi="Times New Roman" w:cs="Times New Roman"/>
          <w:color w:val="262626"/>
        </w:rPr>
        <w:t>Journal Of Education, 32(2), 245-270.</w:t>
      </w:r>
      <w:proofErr w:type="gramEnd"/>
    </w:p>
    <w:p w14:paraId="1A57216D" w14:textId="77777777" w:rsidR="0019294B" w:rsidRPr="00E13000" w:rsidRDefault="0019294B" w:rsidP="009B50C8">
      <w:pPr>
        <w:rPr>
          <w:rFonts w:ascii="Times New Roman" w:hAnsi="Times New Roman" w:cs="Times New Roman"/>
        </w:rPr>
      </w:pPr>
    </w:p>
    <w:sectPr w:rsidR="0019294B" w:rsidRPr="00E13000" w:rsidSect="004F2E5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0C8"/>
    <w:rsid w:val="00090E4C"/>
    <w:rsid w:val="000955AF"/>
    <w:rsid w:val="000F49A2"/>
    <w:rsid w:val="00143579"/>
    <w:rsid w:val="0019294B"/>
    <w:rsid w:val="001B78D1"/>
    <w:rsid w:val="001C1BDA"/>
    <w:rsid w:val="001C4EBF"/>
    <w:rsid w:val="002A1B70"/>
    <w:rsid w:val="002A7ECC"/>
    <w:rsid w:val="003904FF"/>
    <w:rsid w:val="003D6CD7"/>
    <w:rsid w:val="004213BD"/>
    <w:rsid w:val="00470095"/>
    <w:rsid w:val="004F2E57"/>
    <w:rsid w:val="004F78B7"/>
    <w:rsid w:val="00577524"/>
    <w:rsid w:val="005A1929"/>
    <w:rsid w:val="00644DDC"/>
    <w:rsid w:val="00654A11"/>
    <w:rsid w:val="007826C9"/>
    <w:rsid w:val="0079495F"/>
    <w:rsid w:val="007E563C"/>
    <w:rsid w:val="008110D3"/>
    <w:rsid w:val="008B754A"/>
    <w:rsid w:val="008D0B26"/>
    <w:rsid w:val="008D65EE"/>
    <w:rsid w:val="009B50C8"/>
    <w:rsid w:val="009B7F33"/>
    <w:rsid w:val="009D3B15"/>
    <w:rsid w:val="00B11DD9"/>
    <w:rsid w:val="00CB3BFE"/>
    <w:rsid w:val="00D91D4C"/>
    <w:rsid w:val="00E13000"/>
    <w:rsid w:val="00E60312"/>
    <w:rsid w:val="00E76418"/>
    <w:rsid w:val="00F046FC"/>
    <w:rsid w:val="00FC10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AFA76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50C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B50C8"/>
    <w:rPr>
      <w:rFonts w:ascii="Lucida Grande" w:hAnsi="Lucida Grande" w:cs="Lucida Grande"/>
      <w:sz w:val="18"/>
      <w:szCs w:val="18"/>
    </w:rPr>
  </w:style>
  <w:style w:type="table" w:styleId="TableGrid">
    <w:name w:val="Table Grid"/>
    <w:basedOn w:val="TableNormal"/>
    <w:uiPriority w:val="59"/>
    <w:rsid w:val="001929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50C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B50C8"/>
    <w:rPr>
      <w:rFonts w:ascii="Lucida Grande" w:hAnsi="Lucida Grande" w:cs="Lucida Grande"/>
      <w:sz w:val="18"/>
      <w:szCs w:val="18"/>
    </w:rPr>
  </w:style>
  <w:style w:type="table" w:styleId="TableGrid">
    <w:name w:val="Table Grid"/>
    <w:basedOn w:val="TableNormal"/>
    <w:uiPriority w:val="59"/>
    <w:rsid w:val="001929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475897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chart" Target="charts/chart6.xml"/><Relationship Id="rId12" Type="http://schemas.openxmlformats.org/officeDocument/2006/relationships/chart" Target="charts/chart7.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chart" Target="charts/chart1.xml"/><Relationship Id="rId7" Type="http://schemas.openxmlformats.org/officeDocument/2006/relationships/chart" Target="charts/chart2.xml"/><Relationship Id="rId8" Type="http://schemas.openxmlformats.org/officeDocument/2006/relationships/chart" Target="charts/chart3.xml"/><Relationship Id="rId9" Type="http://schemas.openxmlformats.org/officeDocument/2006/relationships/chart" Target="charts/chart4.xml"/><Relationship Id="rId10" Type="http://schemas.openxmlformats.org/officeDocument/2006/relationships/chart" Target="charts/chart5.xml"/></Relationships>
</file>

<file path=word/charts/_rels/chart1.xml.rels><?xml version="1.0" encoding="UTF-8" standalone="yes"?>
<Relationships xmlns="http://schemas.openxmlformats.org/package/2006/relationships"><Relationship Id="rId1" Type="http://schemas.openxmlformats.org/officeDocument/2006/relationships/oleObject" Target="Macintosh%20HD:Users:lapanco:Documents:Concordia:EDT6050:FINALDATA.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Macintosh%20HD:Users:lapanco:Documents:Concordia:EDT6050:FINALDATA.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Macintosh%20HD:Users:lapanco:Documents:Concordia:EDT6050:FINALDATA.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Macintosh%20HD:Users:lapanco:Documents:Concordia:EDT6050:FINALDATA.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Macintosh%20HD:Users:lapanco:Documents:Concordia:EDT6050:FINALDATA.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Macintosh%20HD:Users:lapanco:Documents:Concordia:EDT6050:FINALDATA.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Macintosh%20HD:Users:lapanco:Documents:Concordia:EDT6050:FINALDAT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sz="1200">
                <a:latin typeface="Arial"/>
              </a:defRPr>
            </a:pPr>
            <a:r>
              <a:rPr lang="en-US" sz="1200">
                <a:latin typeface="Arial"/>
              </a:rPr>
              <a:t>Class</a:t>
            </a:r>
            <a:r>
              <a:rPr lang="en-US" sz="1200" baseline="0">
                <a:latin typeface="Arial"/>
              </a:rPr>
              <a:t> Ethnicity Make-up</a:t>
            </a:r>
            <a:endParaRPr lang="en-US" sz="1200">
              <a:latin typeface="Arial"/>
            </a:endParaRPr>
          </a:p>
        </c:rich>
      </c:tx>
      <c:layout/>
      <c:overlay val="0"/>
    </c:title>
    <c:autoTitleDeleted val="0"/>
    <c:plotArea>
      <c:layout/>
      <c:pieChart>
        <c:varyColors val="1"/>
        <c:ser>
          <c:idx val="0"/>
          <c:order val="0"/>
          <c:dLbls>
            <c:showLegendKey val="0"/>
            <c:showVal val="0"/>
            <c:showCatName val="0"/>
            <c:showSerName val="0"/>
            <c:showPercent val="1"/>
            <c:showBubbleSize val="0"/>
            <c:showLeaderLines val="1"/>
          </c:dLbls>
          <c:cat>
            <c:strRef>
              <c:f>Sheet1!$L$19:$L$22</c:f>
              <c:strCache>
                <c:ptCount val="4"/>
                <c:pt idx="0">
                  <c:v>1-HISPANIC</c:v>
                </c:pt>
                <c:pt idx="1">
                  <c:v>2-AFRICAN AMERICAN</c:v>
                </c:pt>
                <c:pt idx="2">
                  <c:v>3-ASIAN</c:v>
                </c:pt>
                <c:pt idx="3">
                  <c:v>4-CAUCASIAN</c:v>
                </c:pt>
              </c:strCache>
            </c:strRef>
          </c:cat>
          <c:val>
            <c:numRef>
              <c:f>Sheet1!$M$19:$M$22</c:f>
              <c:numCache>
                <c:formatCode>General</c:formatCode>
                <c:ptCount val="4"/>
                <c:pt idx="0">
                  <c:v>12.0</c:v>
                </c:pt>
                <c:pt idx="1">
                  <c:v>0.0</c:v>
                </c:pt>
                <c:pt idx="2">
                  <c:v>4.0</c:v>
                </c:pt>
                <c:pt idx="3">
                  <c:v>3.0</c:v>
                </c:pt>
              </c:numCache>
            </c:numRef>
          </c:val>
        </c:ser>
        <c:dLbls>
          <c:showLegendKey val="0"/>
          <c:showVal val="0"/>
          <c:showCatName val="0"/>
          <c:showSerName val="0"/>
          <c:showPercent val="1"/>
          <c:showBubbleSize val="0"/>
          <c:showLeaderLines val="1"/>
        </c:dLbls>
        <c:firstSliceAng val="0"/>
      </c:pieChart>
    </c:plotArea>
    <c:legend>
      <c:legendPos val="r"/>
      <c:layout/>
      <c:overlay val="0"/>
      <c:txPr>
        <a:bodyPr/>
        <a:lstStyle/>
        <a:p>
          <a:pPr>
            <a:defRPr>
              <a:latin typeface="Arial"/>
            </a:defRPr>
          </a:pPr>
          <a:endParaRPr lang="en-US"/>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sz="1200">
                <a:latin typeface="Arial"/>
              </a:defRPr>
            </a:pPr>
            <a:r>
              <a:rPr lang="en-US" sz="1200">
                <a:latin typeface="Arial"/>
              </a:rPr>
              <a:t>Class Gender Make-up</a:t>
            </a:r>
            <a:r>
              <a:rPr lang="en-US" sz="1200" baseline="0">
                <a:latin typeface="Arial"/>
              </a:rPr>
              <a:t> </a:t>
            </a:r>
            <a:endParaRPr lang="en-US" sz="1200">
              <a:latin typeface="Arial"/>
            </a:endParaRPr>
          </a:p>
        </c:rich>
      </c:tx>
      <c:layout/>
      <c:overlay val="0"/>
    </c:title>
    <c:autoTitleDeleted val="0"/>
    <c:plotArea>
      <c:layout/>
      <c:pieChart>
        <c:varyColors val="1"/>
        <c:ser>
          <c:idx val="0"/>
          <c:order val="0"/>
          <c:dLbls>
            <c:showLegendKey val="0"/>
            <c:showVal val="0"/>
            <c:showCatName val="0"/>
            <c:showSerName val="0"/>
            <c:showPercent val="1"/>
            <c:showBubbleSize val="0"/>
            <c:showLeaderLines val="1"/>
          </c:dLbls>
          <c:cat>
            <c:strRef>
              <c:f>Sheet1!$J$21:$J$22</c:f>
              <c:strCache>
                <c:ptCount val="2"/>
                <c:pt idx="0">
                  <c:v>Male</c:v>
                </c:pt>
                <c:pt idx="1">
                  <c:v>Female</c:v>
                </c:pt>
              </c:strCache>
            </c:strRef>
          </c:cat>
          <c:val>
            <c:numRef>
              <c:f>Sheet1!$K$21:$K$22</c:f>
              <c:numCache>
                <c:formatCode>General</c:formatCode>
                <c:ptCount val="2"/>
                <c:pt idx="0">
                  <c:v>10.0</c:v>
                </c:pt>
                <c:pt idx="1">
                  <c:v>9.0</c:v>
                </c:pt>
              </c:numCache>
            </c:numRef>
          </c:val>
        </c:ser>
        <c:dLbls>
          <c:showLegendKey val="0"/>
          <c:showVal val="0"/>
          <c:showCatName val="0"/>
          <c:showSerName val="0"/>
          <c:showPercent val="1"/>
          <c:showBubbleSize val="0"/>
          <c:showLeaderLines val="1"/>
        </c:dLbls>
        <c:firstSliceAng val="0"/>
      </c:pieChart>
    </c:plotArea>
    <c:legend>
      <c:legendPos val="r"/>
      <c:layout/>
      <c:overlay val="0"/>
      <c:txPr>
        <a:bodyPr/>
        <a:lstStyle/>
        <a:p>
          <a:pPr>
            <a:defRPr>
              <a:latin typeface="Arial"/>
            </a:defRPr>
          </a:pPr>
          <a:endParaRPr lang="en-US"/>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a:t>Female</a:t>
            </a:r>
            <a:r>
              <a:rPr lang="en-US" baseline="0"/>
              <a:t> Growth in Reading Levels</a:t>
            </a:r>
            <a:endParaRPr lang="en-US"/>
          </a:p>
        </c:rich>
      </c:tx>
      <c:layout/>
      <c:overlay val="0"/>
    </c:title>
    <c:autoTitleDeleted val="0"/>
    <c:plotArea>
      <c:layout/>
      <c:barChart>
        <c:barDir val="col"/>
        <c:grouping val="clustered"/>
        <c:varyColors val="0"/>
        <c:ser>
          <c:idx val="0"/>
          <c:order val="0"/>
          <c:invertIfNegative val="0"/>
          <c:cat>
            <c:strRef>
              <c:f>Sheet1!$A$78:$A$80</c:f>
              <c:strCache>
                <c:ptCount val="3"/>
                <c:pt idx="0">
                  <c:v>Hispanic</c:v>
                </c:pt>
                <c:pt idx="1">
                  <c:v>Asian</c:v>
                </c:pt>
                <c:pt idx="2">
                  <c:v>Caucasian</c:v>
                </c:pt>
              </c:strCache>
            </c:strRef>
          </c:cat>
          <c:val>
            <c:numRef>
              <c:f>Sheet1!$B$78:$B$80</c:f>
              <c:numCache>
                <c:formatCode>General</c:formatCode>
                <c:ptCount val="3"/>
                <c:pt idx="0">
                  <c:v>14.0</c:v>
                </c:pt>
                <c:pt idx="1">
                  <c:v>15.0</c:v>
                </c:pt>
                <c:pt idx="2">
                  <c:v>7.0</c:v>
                </c:pt>
              </c:numCache>
            </c:numRef>
          </c:val>
        </c:ser>
        <c:dLbls>
          <c:showLegendKey val="0"/>
          <c:showVal val="0"/>
          <c:showCatName val="0"/>
          <c:showSerName val="0"/>
          <c:showPercent val="0"/>
          <c:showBubbleSize val="0"/>
        </c:dLbls>
        <c:gapWidth val="150"/>
        <c:axId val="640005960"/>
        <c:axId val="642716904"/>
      </c:barChart>
      <c:catAx>
        <c:axId val="640005960"/>
        <c:scaling>
          <c:orientation val="minMax"/>
        </c:scaling>
        <c:delete val="0"/>
        <c:axPos val="b"/>
        <c:majorTickMark val="none"/>
        <c:minorTickMark val="none"/>
        <c:tickLblPos val="nextTo"/>
        <c:crossAx val="642716904"/>
        <c:crosses val="autoZero"/>
        <c:auto val="1"/>
        <c:lblAlgn val="ctr"/>
        <c:lblOffset val="100"/>
        <c:noMultiLvlLbl val="0"/>
      </c:catAx>
      <c:valAx>
        <c:axId val="642716904"/>
        <c:scaling>
          <c:orientation val="minMax"/>
        </c:scaling>
        <c:delete val="0"/>
        <c:axPos val="l"/>
        <c:majorGridlines/>
        <c:numFmt formatCode="General" sourceLinked="1"/>
        <c:majorTickMark val="none"/>
        <c:minorTickMark val="none"/>
        <c:tickLblPos val="nextTo"/>
        <c:crossAx val="640005960"/>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a:t>Male</a:t>
            </a:r>
            <a:r>
              <a:rPr lang="en-US" baseline="0"/>
              <a:t> Growth in Reading Levels</a:t>
            </a:r>
          </a:p>
        </c:rich>
      </c:tx>
      <c:layout/>
      <c:overlay val="0"/>
    </c:title>
    <c:autoTitleDeleted val="0"/>
    <c:plotArea>
      <c:layout/>
      <c:barChart>
        <c:barDir val="col"/>
        <c:grouping val="clustered"/>
        <c:varyColors val="0"/>
        <c:ser>
          <c:idx val="0"/>
          <c:order val="0"/>
          <c:invertIfNegative val="0"/>
          <c:cat>
            <c:strRef>
              <c:f>Sheet1!$C$78:$C$80</c:f>
              <c:strCache>
                <c:ptCount val="3"/>
                <c:pt idx="0">
                  <c:v>Hispanic</c:v>
                </c:pt>
                <c:pt idx="1">
                  <c:v>Asian</c:v>
                </c:pt>
                <c:pt idx="2">
                  <c:v>Caucasian</c:v>
                </c:pt>
              </c:strCache>
            </c:strRef>
          </c:cat>
          <c:val>
            <c:numRef>
              <c:f>Sheet1!$D$78:$D$80</c:f>
              <c:numCache>
                <c:formatCode>General</c:formatCode>
                <c:ptCount val="3"/>
                <c:pt idx="0">
                  <c:v>39.0</c:v>
                </c:pt>
                <c:pt idx="1">
                  <c:v>3.0</c:v>
                </c:pt>
                <c:pt idx="2">
                  <c:v>7.0</c:v>
                </c:pt>
              </c:numCache>
            </c:numRef>
          </c:val>
        </c:ser>
        <c:dLbls>
          <c:showLegendKey val="0"/>
          <c:showVal val="0"/>
          <c:showCatName val="0"/>
          <c:showSerName val="0"/>
          <c:showPercent val="0"/>
          <c:showBubbleSize val="0"/>
        </c:dLbls>
        <c:gapWidth val="150"/>
        <c:axId val="615607416"/>
        <c:axId val="615609544"/>
      </c:barChart>
      <c:catAx>
        <c:axId val="615607416"/>
        <c:scaling>
          <c:orientation val="minMax"/>
        </c:scaling>
        <c:delete val="0"/>
        <c:axPos val="b"/>
        <c:majorTickMark val="none"/>
        <c:minorTickMark val="none"/>
        <c:tickLblPos val="nextTo"/>
        <c:crossAx val="615609544"/>
        <c:crosses val="autoZero"/>
        <c:auto val="1"/>
        <c:lblAlgn val="ctr"/>
        <c:lblOffset val="100"/>
        <c:noMultiLvlLbl val="0"/>
      </c:catAx>
      <c:valAx>
        <c:axId val="615609544"/>
        <c:scaling>
          <c:orientation val="minMax"/>
        </c:scaling>
        <c:delete val="0"/>
        <c:axPos val="l"/>
        <c:majorGridlines/>
        <c:numFmt formatCode="General" sourceLinked="1"/>
        <c:majorTickMark val="none"/>
        <c:minorTickMark val="none"/>
        <c:tickLblPos val="nextTo"/>
        <c:crossAx val="615607416"/>
        <c:crosses val="autoZero"/>
        <c:crossBetween val="between"/>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sz="1200">
                <a:latin typeface="Arial"/>
              </a:defRPr>
            </a:pPr>
            <a:r>
              <a:rPr lang="en-US" sz="1200">
                <a:latin typeface="Arial"/>
              </a:rPr>
              <a:t>Difference</a:t>
            </a:r>
            <a:r>
              <a:rPr lang="en-US" sz="1200" baseline="0">
                <a:latin typeface="Arial"/>
              </a:rPr>
              <a:t> in Winter &amp; Spring Reading Level</a:t>
            </a:r>
            <a:endParaRPr lang="en-US" sz="1200">
              <a:latin typeface="Arial"/>
            </a:endParaRPr>
          </a:p>
        </c:rich>
      </c:tx>
      <c:layout/>
      <c:overlay val="0"/>
    </c:title>
    <c:autoTitleDeleted val="0"/>
    <c:plotArea>
      <c:layout/>
      <c:scatterChart>
        <c:scatterStyle val="lineMarker"/>
        <c:varyColors val="0"/>
        <c:ser>
          <c:idx val="0"/>
          <c:order val="0"/>
          <c:spPr>
            <a:ln w="47625">
              <a:noFill/>
            </a:ln>
          </c:spPr>
          <c:yVal>
            <c:numRef>
              <c:f>Sheet1!$I$2:$I$20</c:f>
              <c:numCache>
                <c:formatCode>General</c:formatCode>
                <c:ptCount val="19"/>
                <c:pt idx="0">
                  <c:v>4.0</c:v>
                </c:pt>
                <c:pt idx="1">
                  <c:v>6.0</c:v>
                </c:pt>
                <c:pt idx="2">
                  <c:v>3.0</c:v>
                </c:pt>
                <c:pt idx="3">
                  <c:v>4.0</c:v>
                </c:pt>
                <c:pt idx="4">
                  <c:v>7.0</c:v>
                </c:pt>
                <c:pt idx="5">
                  <c:v>4.0</c:v>
                </c:pt>
                <c:pt idx="6">
                  <c:v>5.0</c:v>
                </c:pt>
                <c:pt idx="7">
                  <c:v>3.0</c:v>
                </c:pt>
                <c:pt idx="8">
                  <c:v>3.0</c:v>
                </c:pt>
                <c:pt idx="9">
                  <c:v>6.0</c:v>
                </c:pt>
                <c:pt idx="10">
                  <c:v>6.0</c:v>
                </c:pt>
                <c:pt idx="11">
                  <c:v>5.0</c:v>
                </c:pt>
                <c:pt idx="12">
                  <c:v>7.0</c:v>
                </c:pt>
                <c:pt idx="13">
                  <c:v>1.0</c:v>
                </c:pt>
                <c:pt idx="14">
                  <c:v>0.0</c:v>
                </c:pt>
                <c:pt idx="15">
                  <c:v>6.0</c:v>
                </c:pt>
                <c:pt idx="16">
                  <c:v>4.0</c:v>
                </c:pt>
                <c:pt idx="17">
                  <c:v>5.0</c:v>
                </c:pt>
                <c:pt idx="18">
                  <c:v>6.0</c:v>
                </c:pt>
              </c:numCache>
            </c:numRef>
          </c:yVal>
          <c:smooth val="0"/>
        </c:ser>
        <c:dLbls>
          <c:showLegendKey val="0"/>
          <c:showVal val="0"/>
          <c:showCatName val="0"/>
          <c:showSerName val="0"/>
          <c:showPercent val="0"/>
          <c:showBubbleSize val="0"/>
        </c:dLbls>
        <c:axId val="418110664"/>
        <c:axId val="465068200"/>
      </c:scatterChart>
      <c:valAx>
        <c:axId val="418110664"/>
        <c:scaling>
          <c:orientation val="minMax"/>
        </c:scaling>
        <c:delete val="0"/>
        <c:axPos val="b"/>
        <c:title>
          <c:tx>
            <c:rich>
              <a:bodyPr/>
              <a:lstStyle/>
              <a:p>
                <a:pPr>
                  <a:defRPr>
                    <a:latin typeface="Arial"/>
                  </a:defRPr>
                </a:pPr>
                <a:r>
                  <a:rPr lang="en-US">
                    <a:latin typeface="Arial"/>
                  </a:rPr>
                  <a:t>Student</a:t>
                </a:r>
                <a:r>
                  <a:rPr lang="en-US" baseline="0">
                    <a:latin typeface="Arial"/>
                  </a:rPr>
                  <a:t> Number</a:t>
                </a:r>
                <a:endParaRPr lang="en-US">
                  <a:latin typeface="Arial"/>
                </a:endParaRPr>
              </a:p>
            </c:rich>
          </c:tx>
          <c:layout/>
          <c:overlay val="0"/>
        </c:title>
        <c:majorTickMark val="none"/>
        <c:minorTickMark val="none"/>
        <c:tickLblPos val="nextTo"/>
        <c:crossAx val="465068200"/>
        <c:crosses val="autoZero"/>
        <c:crossBetween val="midCat"/>
      </c:valAx>
      <c:valAx>
        <c:axId val="465068200"/>
        <c:scaling>
          <c:orientation val="minMax"/>
        </c:scaling>
        <c:delete val="0"/>
        <c:axPos val="l"/>
        <c:majorGridlines/>
        <c:title>
          <c:tx>
            <c:rich>
              <a:bodyPr/>
              <a:lstStyle/>
              <a:p>
                <a:pPr>
                  <a:defRPr>
                    <a:latin typeface="Arial"/>
                  </a:defRPr>
                </a:pPr>
                <a:r>
                  <a:rPr lang="en-US">
                    <a:latin typeface="Arial"/>
                  </a:rPr>
                  <a:t>Difference</a:t>
                </a:r>
                <a:r>
                  <a:rPr lang="en-US" baseline="0">
                    <a:latin typeface="Arial"/>
                  </a:rPr>
                  <a:t> in Fontas &amp; Pinnell Level</a:t>
                </a:r>
                <a:endParaRPr lang="en-US">
                  <a:latin typeface="Arial"/>
                </a:endParaRPr>
              </a:p>
            </c:rich>
          </c:tx>
          <c:layout>
            <c:manualLayout>
              <c:xMode val="edge"/>
              <c:yMode val="edge"/>
              <c:x val="0.0416666666666667"/>
              <c:y val="0.158333333333333"/>
            </c:manualLayout>
          </c:layout>
          <c:overlay val="0"/>
        </c:title>
        <c:numFmt formatCode="General" sourceLinked="1"/>
        <c:majorTickMark val="none"/>
        <c:minorTickMark val="none"/>
        <c:tickLblPos val="nextTo"/>
        <c:crossAx val="418110664"/>
        <c:crosses val="autoZero"/>
        <c:crossBetween val="midCat"/>
      </c:valAx>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sz="1200">
                <a:latin typeface="Arial"/>
              </a:defRPr>
            </a:pPr>
            <a:r>
              <a:rPr lang="en-US" sz="1200">
                <a:latin typeface="Arial"/>
              </a:rPr>
              <a:t>CBM</a:t>
            </a:r>
            <a:r>
              <a:rPr lang="en-US" sz="1200" baseline="0">
                <a:latin typeface="Arial"/>
              </a:rPr>
              <a:t> Winter &amp; Spring </a:t>
            </a:r>
          </a:p>
          <a:p>
            <a:pPr>
              <a:defRPr sz="1200">
                <a:latin typeface="Arial"/>
              </a:defRPr>
            </a:pPr>
            <a:r>
              <a:rPr lang="en-US" sz="1200" baseline="0">
                <a:latin typeface="Arial"/>
              </a:rPr>
              <a:t>Average Reading Scores</a:t>
            </a:r>
            <a:endParaRPr lang="en-US" sz="1200">
              <a:latin typeface="Arial"/>
            </a:endParaRPr>
          </a:p>
        </c:rich>
      </c:tx>
      <c:layout/>
      <c:overlay val="0"/>
    </c:title>
    <c:autoTitleDeleted val="0"/>
    <c:plotArea>
      <c:layout/>
      <c:barChart>
        <c:barDir val="col"/>
        <c:grouping val="clustered"/>
        <c:varyColors val="0"/>
        <c:ser>
          <c:idx val="0"/>
          <c:order val="0"/>
          <c:invertIfNegative val="0"/>
          <c:val>
            <c:numRef>
              <c:f>(Sheet1!$E$21,Sheet1!$E$33,Sheet1!$E$40,Sheet1!$E$44)</c:f>
              <c:numCache>
                <c:formatCode>General</c:formatCode>
                <c:ptCount val="4"/>
                <c:pt idx="0">
                  <c:v>64.05263157894737</c:v>
                </c:pt>
                <c:pt idx="1">
                  <c:v>45.77777777777778</c:v>
                </c:pt>
                <c:pt idx="2">
                  <c:v>28.0</c:v>
                </c:pt>
                <c:pt idx="3">
                  <c:v>9.0</c:v>
                </c:pt>
              </c:numCache>
            </c:numRef>
          </c:val>
        </c:ser>
        <c:ser>
          <c:idx val="1"/>
          <c:order val="1"/>
          <c:invertIfNegative val="0"/>
          <c:val>
            <c:numRef>
              <c:f>(Sheet1!$F$21,Sheet1!$F$33,Sheet1!$F$40,Sheet1!$F$44)</c:f>
              <c:numCache>
                <c:formatCode>General</c:formatCode>
                <c:ptCount val="4"/>
                <c:pt idx="0">
                  <c:v>89.15789473684211</c:v>
                </c:pt>
                <c:pt idx="1">
                  <c:v>73.11111111111111</c:v>
                </c:pt>
                <c:pt idx="2">
                  <c:v>57.66666666666666</c:v>
                </c:pt>
                <c:pt idx="3">
                  <c:v>23.5</c:v>
                </c:pt>
              </c:numCache>
            </c:numRef>
          </c:val>
        </c:ser>
        <c:dLbls>
          <c:showLegendKey val="0"/>
          <c:showVal val="0"/>
          <c:showCatName val="0"/>
          <c:showSerName val="0"/>
          <c:showPercent val="0"/>
          <c:showBubbleSize val="0"/>
        </c:dLbls>
        <c:gapWidth val="150"/>
        <c:axId val="640518264"/>
        <c:axId val="641872328"/>
      </c:barChart>
      <c:catAx>
        <c:axId val="640518264"/>
        <c:scaling>
          <c:orientation val="minMax"/>
        </c:scaling>
        <c:delete val="0"/>
        <c:axPos val="b"/>
        <c:title>
          <c:tx>
            <c:rich>
              <a:bodyPr/>
              <a:lstStyle/>
              <a:p>
                <a:pPr>
                  <a:defRPr>
                    <a:latin typeface="Arial"/>
                  </a:defRPr>
                </a:pPr>
                <a:r>
                  <a:rPr lang="en-US">
                    <a:latin typeface="Arial"/>
                  </a:rPr>
                  <a:t>Class</a:t>
                </a:r>
                <a:r>
                  <a:rPr lang="en-US" baseline="0">
                    <a:latin typeface="Arial"/>
                  </a:rPr>
                  <a:t>             </a:t>
                </a:r>
                <a:r>
                  <a:rPr lang="en-US">
                    <a:latin typeface="Arial"/>
                  </a:rPr>
                  <a:t>ESL</a:t>
                </a:r>
                <a:r>
                  <a:rPr lang="en-US" baseline="0">
                    <a:latin typeface="Arial"/>
                  </a:rPr>
                  <a:t>             </a:t>
                </a:r>
                <a:r>
                  <a:rPr lang="en-US">
                    <a:latin typeface="Arial"/>
                  </a:rPr>
                  <a:t>LEAP</a:t>
                </a:r>
                <a:r>
                  <a:rPr lang="en-US" baseline="0">
                    <a:latin typeface="Arial"/>
                  </a:rPr>
                  <a:t>             </a:t>
                </a:r>
                <a:r>
                  <a:rPr lang="en-US">
                    <a:latin typeface="Arial"/>
                  </a:rPr>
                  <a:t>Title</a:t>
                </a:r>
                <a:r>
                  <a:rPr lang="en-US" baseline="0">
                    <a:latin typeface="Arial"/>
                  </a:rPr>
                  <a:t> 1 </a:t>
                </a:r>
                <a:endParaRPr lang="en-US">
                  <a:latin typeface="Arial"/>
                </a:endParaRPr>
              </a:p>
            </c:rich>
          </c:tx>
          <c:layout>
            <c:manualLayout>
              <c:xMode val="edge"/>
              <c:yMode val="edge"/>
              <c:x val="0.141150481189851"/>
              <c:y val="0.870691120293132"/>
            </c:manualLayout>
          </c:layout>
          <c:overlay val="0"/>
        </c:title>
        <c:majorTickMark val="none"/>
        <c:minorTickMark val="none"/>
        <c:tickLblPos val="nextTo"/>
        <c:crossAx val="641872328"/>
        <c:crosses val="autoZero"/>
        <c:auto val="1"/>
        <c:lblAlgn val="ctr"/>
        <c:lblOffset val="100"/>
        <c:noMultiLvlLbl val="0"/>
      </c:catAx>
      <c:valAx>
        <c:axId val="641872328"/>
        <c:scaling>
          <c:orientation val="minMax"/>
        </c:scaling>
        <c:delete val="0"/>
        <c:axPos val="l"/>
        <c:majorGridlines/>
        <c:title>
          <c:tx>
            <c:rich>
              <a:bodyPr/>
              <a:lstStyle/>
              <a:p>
                <a:pPr>
                  <a:defRPr>
                    <a:latin typeface="Arial"/>
                  </a:defRPr>
                </a:pPr>
                <a:r>
                  <a:rPr lang="en-US">
                    <a:latin typeface="Arial"/>
                  </a:rPr>
                  <a:t>Curriculum</a:t>
                </a:r>
                <a:r>
                  <a:rPr lang="en-US" baseline="0">
                    <a:latin typeface="Arial"/>
                  </a:rPr>
                  <a:t> Based Measurement</a:t>
                </a:r>
                <a:endParaRPr lang="en-US">
                  <a:latin typeface="Arial"/>
                </a:endParaRPr>
              </a:p>
            </c:rich>
          </c:tx>
          <c:layout>
            <c:manualLayout>
              <c:xMode val="edge"/>
              <c:yMode val="edge"/>
              <c:x val="0.0416666666666667"/>
              <c:y val="0.20462962962963"/>
            </c:manualLayout>
          </c:layout>
          <c:overlay val="0"/>
        </c:title>
        <c:numFmt formatCode="General" sourceLinked="1"/>
        <c:majorTickMark val="out"/>
        <c:minorTickMark val="none"/>
        <c:tickLblPos val="nextTo"/>
        <c:crossAx val="640518264"/>
        <c:crosses val="autoZero"/>
        <c:crossBetween val="between"/>
      </c:valAx>
    </c:plotArea>
    <c:legend>
      <c:legendPos val="r"/>
      <c:layout/>
      <c:overlay val="0"/>
      <c:txPr>
        <a:bodyPr/>
        <a:lstStyle/>
        <a:p>
          <a:pPr>
            <a:defRPr>
              <a:latin typeface="Arial"/>
            </a:defRPr>
          </a:pPr>
          <a:endParaRPr lang="en-US"/>
        </a:p>
      </c:txPr>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sz="1200">
                <a:latin typeface="Arial"/>
              </a:defRPr>
            </a:pPr>
            <a:r>
              <a:rPr lang="en-US" sz="1200">
                <a:latin typeface="Arial"/>
              </a:rPr>
              <a:t>AIMSweb</a:t>
            </a:r>
            <a:r>
              <a:rPr lang="en-US" sz="1200" baseline="0">
                <a:latin typeface="Arial"/>
              </a:rPr>
              <a:t> Growth</a:t>
            </a:r>
            <a:endParaRPr lang="en-US" sz="1200">
              <a:latin typeface="Arial"/>
            </a:endParaRPr>
          </a:p>
        </c:rich>
      </c:tx>
      <c:layout/>
      <c:overlay val="0"/>
    </c:title>
    <c:autoTitleDeleted val="0"/>
    <c:plotArea>
      <c:layout/>
      <c:lineChart>
        <c:grouping val="standard"/>
        <c:varyColors val="0"/>
        <c:ser>
          <c:idx val="0"/>
          <c:order val="0"/>
          <c:marker>
            <c:symbol val="none"/>
          </c:marker>
          <c:val>
            <c:numRef>
              <c:f>Sheet1!$E$33:$F$33</c:f>
              <c:numCache>
                <c:formatCode>General</c:formatCode>
                <c:ptCount val="2"/>
                <c:pt idx="0">
                  <c:v>45.77777777777778</c:v>
                </c:pt>
                <c:pt idx="1">
                  <c:v>73.11111111111111</c:v>
                </c:pt>
              </c:numCache>
            </c:numRef>
          </c:val>
          <c:smooth val="0"/>
        </c:ser>
        <c:ser>
          <c:idx val="1"/>
          <c:order val="1"/>
          <c:marker>
            <c:symbol val="none"/>
          </c:marker>
          <c:val>
            <c:numRef>
              <c:f>Sheet1!$E$54:$F$54</c:f>
              <c:numCache>
                <c:formatCode>General</c:formatCode>
                <c:ptCount val="2"/>
                <c:pt idx="0">
                  <c:v>114.1666666666667</c:v>
                </c:pt>
                <c:pt idx="1">
                  <c:v>134.6666666666667</c:v>
                </c:pt>
              </c:numCache>
            </c:numRef>
          </c:val>
          <c:smooth val="0"/>
        </c:ser>
        <c:dLbls>
          <c:showLegendKey val="0"/>
          <c:showVal val="0"/>
          <c:showCatName val="0"/>
          <c:showSerName val="0"/>
          <c:showPercent val="0"/>
          <c:showBubbleSize val="0"/>
        </c:dLbls>
        <c:marker val="1"/>
        <c:smooth val="0"/>
        <c:axId val="639798984"/>
        <c:axId val="639801960"/>
      </c:lineChart>
      <c:catAx>
        <c:axId val="639798984"/>
        <c:scaling>
          <c:orientation val="minMax"/>
        </c:scaling>
        <c:delete val="0"/>
        <c:axPos val="b"/>
        <c:majorTickMark val="none"/>
        <c:minorTickMark val="none"/>
        <c:tickLblPos val="nextTo"/>
        <c:crossAx val="639801960"/>
        <c:crosses val="autoZero"/>
        <c:auto val="1"/>
        <c:lblAlgn val="ctr"/>
        <c:lblOffset val="100"/>
        <c:noMultiLvlLbl val="0"/>
      </c:catAx>
      <c:valAx>
        <c:axId val="639801960"/>
        <c:scaling>
          <c:orientation val="minMax"/>
        </c:scaling>
        <c:delete val="0"/>
        <c:axPos val="l"/>
        <c:majorGridlines/>
        <c:title>
          <c:tx>
            <c:rich>
              <a:bodyPr/>
              <a:lstStyle/>
              <a:p>
                <a:pPr>
                  <a:defRPr>
                    <a:latin typeface="Arial"/>
                  </a:defRPr>
                </a:pPr>
                <a:r>
                  <a:rPr lang="en-US">
                    <a:latin typeface="Arial"/>
                  </a:rPr>
                  <a:t>Curriculum</a:t>
                </a:r>
                <a:r>
                  <a:rPr lang="en-US" baseline="0">
                    <a:latin typeface="Arial"/>
                  </a:rPr>
                  <a:t> Based Measurememnt</a:t>
                </a:r>
                <a:endParaRPr lang="en-US">
                  <a:latin typeface="Arial"/>
                </a:endParaRPr>
              </a:p>
            </c:rich>
          </c:tx>
          <c:layout/>
          <c:overlay val="0"/>
        </c:title>
        <c:numFmt formatCode="General" sourceLinked="1"/>
        <c:majorTickMark val="none"/>
        <c:minorTickMark val="none"/>
        <c:tickLblPos val="nextTo"/>
        <c:crossAx val="639798984"/>
        <c:crosses val="autoZero"/>
        <c:crossBetween val="between"/>
      </c:valAx>
    </c:plotArea>
    <c:legend>
      <c:legendPos val="r"/>
      <c:layout/>
      <c:overlay val="0"/>
      <c:txPr>
        <a:bodyPr/>
        <a:lstStyle/>
        <a:p>
          <a:pPr>
            <a:defRPr>
              <a:latin typeface="Arial"/>
            </a:defRPr>
          </a:pPr>
          <a:endParaRPr lang="en-US"/>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A53D35-E7C9-5B49-BE6E-E34554C87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11</Pages>
  <Words>1335</Words>
  <Characters>7614</Characters>
  <Application>Microsoft Macintosh Word</Application>
  <DocSecurity>0</DocSecurity>
  <Lines>63</Lines>
  <Paragraphs>17</Paragraphs>
  <ScaleCrop>false</ScaleCrop>
  <Company/>
  <LinksUpToDate>false</LinksUpToDate>
  <CharactersWithSpaces>8932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Bass</dc:creator>
  <cp:keywords/>
  <dc:description/>
  <cp:lastModifiedBy>Laura Bass</cp:lastModifiedBy>
  <cp:revision>5</cp:revision>
  <dcterms:created xsi:type="dcterms:W3CDTF">2012-05-01T05:11:00Z</dcterms:created>
  <dcterms:modified xsi:type="dcterms:W3CDTF">2012-05-01T05:30:00Z</dcterms:modified>
</cp:coreProperties>
</file>